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A2C1E">
      <w:pPr>
        <w:spacing w:before="35"/>
        <w:ind w:right="0"/>
        <w:jc w:val="left"/>
        <w:rPr>
          <w:rFonts w:hint="eastAsia" w:ascii="仿宋" w:hAnsi="仿宋" w:eastAsia="仿宋" w:cs="仿宋"/>
          <w:b w:val="0"/>
          <w:bCs/>
          <w:sz w:val="32"/>
          <w:szCs w:val="32"/>
          <w:lang w:val="en-US" w:eastAsia="zh-CN"/>
        </w:rPr>
      </w:pPr>
      <w:r>
        <w:rPr>
          <w:rFonts w:hint="eastAsia" w:ascii="仿宋" w:hAnsi="仿宋" w:eastAsia="仿宋" w:cs="仿宋"/>
          <w:b w:val="0"/>
          <w:bCs/>
          <w:sz w:val="32"/>
          <w:szCs w:val="32"/>
          <w:lang w:val="en-US" w:eastAsia="zh-CN"/>
        </w:rPr>
        <w:t>附件1</w:t>
      </w:r>
    </w:p>
    <w:p w14:paraId="391B5D1F">
      <w:pPr>
        <w:spacing w:before="35"/>
        <w:ind w:right="0" w:firstLine="1281" w:firstLineChars="400"/>
        <w:jc w:val="left"/>
        <w:rPr>
          <w:rFonts w:hint="eastAsia" w:ascii="微软雅黑" w:hAnsi="微软雅黑" w:eastAsia="微软雅黑" w:cs="微软雅黑"/>
          <w:b/>
          <w:sz w:val="32"/>
          <w:szCs w:val="32"/>
          <w:lang w:val="en-US" w:eastAsia="zh-CN"/>
        </w:rPr>
      </w:pPr>
      <w:r>
        <w:rPr>
          <w:rFonts w:hint="eastAsia" w:ascii="微软雅黑" w:hAnsi="微软雅黑" w:eastAsia="微软雅黑" w:cs="微软雅黑"/>
          <w:b/>
          <w:sz w:val="32"/>
          <w:szCs w:val="32"/>
          <w:lang w:val="en-US" w:eastAsia="zh-CN"/>
        </w:rPr>
        <w:t>阳江市中医医院</w:t>
      </w:r>
      <w:r>
        <w:rPr>
          <w:rFonts w:hint="eastAsia" w:ascii="微软雅黑" w:hAnsi="微软雅黑" w:eastAsia="微软雅黑" w:cs="微软雅黑"/>
          <w:b/>
          <w:sz w:val="32"/>
          <w:szCs w:val="32"/>
        </w:rPr>
        <w:t>制剂委托配制</w:t>
      </w:r>
      <w:r>
        <w:rPr>
          <w:rFonts w:hint="eastAsia" w:ascii="微软雅黑" w:hAnsi="微软雅黑" w:eastAsia="微软雅黑" w:cs="微软雅黑"/>
          <w:b/>
          <w:sz w:val="32"/>
          <w:szCs w:val="32"/>
          <w:lang w:val="en-US" w:eastAsia="zh-CN"/>
        </w:rPr>
        <w:t>服务项目需</w:t>
      </w:r>
      <w:r>
        <w:rPr>
          <w:rFonts w:hint="eastAsia" w:ascii="微软雅黑" w:hAnsi="微软雅黑" w:eastAsia="微软雅黑" w:cs="微软雅黑"/>
          <w:b/>
          <w:sz w:val="32"/>
          <w:szCs w:val="32"/>
        </w:rPr>
        <w:t>求</w:t>
      </w:r>
      <w:r>
        <w:rPr>
          <w:rFonts w:hint="eastAsia" w:ascii="微软雅黑" w:hAnsi="微软雅黑" w:eastAsia="微软雅黑" w:cs="微软雅黑"/>
          <w:b/>
          <w:sz w:val="32"/>
          <w:szCs w:val="32"/>
          <w:lang w:val="en-US" w:eastAsia="zh-CN"/>
        </w:rPr>
        <w:t>书</w:t>
      </w:r>
    </w:p>
    <w:p w14:paraId="76603F0C">
      <w:pPr>
        <w:pStyle w:val="8"/>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line="400" w:lineRule="exact"/>
        <w:ind w:leftChars="0" w:right="839" w:rightChars="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一、</w:t>
      </w:r>
      <w:r>
        <w:rPr>
          <w:rFonts w:hint="eastAsia" w:ascii="宋体" w:hAnsi="宋体" w:eastAsia="宋体" w:cs="宋体"/>
          <w:b/>
          <w:bCs/>
          <w:sz w:val="24"/>
          <w:szCs w:val="24"/>
        </w:rPr>
        <w:t>总则</w:t>
      </w:r>
    </w:p>
    <w:p w14:paraId="69508798">
      <w:pPr>
        <w:keepNext w:val="0"/>
        <w:keepLines w:val="0"/>
        <w:pageBreakBefore w:val="0"/>
        <w:widowControl w:val="0"/>
        <w:kinsoku/>
        <w:wordWrap/>
        <w:overflowPunct/>
        <w:topLinePunct w:val="0"/>
        <w:autoSpaceDE w:val="0"/>
        <w:autoSpaceDN w:val="0"/>
        <w:bidi w:val="0"/>
        <w:adjustRightInd/>
        <w:snapToGrid/>
        <w:spacing w:line="400" w:lineRule="exact"/>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lang w:val="en-US" w:eastAsia="zh-CN"/>
        </w:rPr>
        <w:t>1、项目概况：</w:t>
      </w:r>
      <w:r>
        <w:rPr>
          <w:rFonts w:hint="eastAsia" w:ascii="宋体" w:hAnsi="宋体" w:eastAsia="宋体" w:cs="宋体"/>
          <w:b w:val="0"/>
          <w:bCs w:val="0"/>
          <w:sz w:val="24"/>
          <w:szCs w:val="24"/>
          <w:lang w:val="en-US" w:eastAsia="zh-CN"/>
        </w:rPr>
        <w:t>阳江市中医医院已取得本次</w:t>
      </w:r>
      <w:r>
        <w:rPr>
          <w:rFonts w:hint="eastAsia" w:cs="宋体"/>
          <w:b w:val="0"/>
          <w:bCs w:val="0"/>
          <w:sz w:val="24"/>
          <w:szCs w:val="24"/>
          <w:lang w:val="en-US" w:eastAsia="zh-CN"/>
        </w:rPr>
        <w:t>委托</w:t>
      </w:r>
      <w:r>
        <w:rPr>
          <w:rFonts w:hint="eastAsia" w:ascii="宋体" w:hAnsi="宋体" w:eastAsia="宋体" w:cs="宋体"/>
          <w:b w:val="0"/>
          <w:bCs w:val="0"/>
          <w:sz w:val="24"/>
          <w:szCs w:val="24"/>
          <w:lang w:val="en-US" w:eastAsia="zh-CN"/>
        </w:rPr>
        <w:t>制剂品种的注册批件</w:t>
      </w:r>
      <w:r>
        <w:rPr>
          <w:sz w:val="24"/>
        </w:rPr>
        <w:t>/备案凭证</w:t>
      </w:r>
      <w:r>
        <w:rPr>
          <w:rFonts w:hint="eastAsia" w:ascii="宋体" w:hAnsi="宋体" w:eastAsia="宋体" w:cs="宋体"/>
          <w:b w:val="0"/>
          <w:bCs w:val="0"/>
          <w:sz w:val="24"/>
          <w:szCs w:val="24"/>
          <w:lang w:val="en-US" w:eastAsia="zh-CN"/>
        </w:rPr>
        <w:t>，本项目要求</w:t>
      </w:r>
      <w:r>
        <w:rPr>
          <w:rFonts w:hint="eastAsia" w:cs="宋体"/>
          <w:b w:val="0"/>
          <w:bCs w:val="0"/>
          <w:sz w:val="24"/>
          <w:szCs w:val="24"/>
          <w:lang w:val="en-US" w:eastAsia="zh-CN"/>
        </w:rPr>
        <w:t>服务商</w:t>
      </w:r>
      <w:r>
        <w:rPr>
          <w:rFonts w:hint="eastAsia" w:ascii="宋体" w:hAnsi="宋体" w:eastAsia="宋体" w:cs="宋体"/>
          <w:b w:val="0"/>
          <w:bCs w:val="0"/>
          <w:sz w:val="24"/>
          <w:szCs w:val="24"/>
          <w:lang w:val="en-US" w:eastAsia="zh-CN"/>
        </w:rPr>
        <w:t>按照制剂注册批件</w:t>
      </w:r>
      <w:r>
        <w:rPr>
          <w:sz w:val="24"/>
        </w:rPr>
        <w:t>/备案</w:t>
      </w:r>
      <w:r>
        <w:rPr>
          <w:rFonts w:hint="eastAsia" w:ascii="宋体" w:hAnsi="宋体" w:eastAsia="宋体" w:cs="宋体"/>
          <w:b w:val="0"/>
          <w:bCs w:val="0"/>
          <w:sz w:val="24"/>
          <w:szCs w:val="24"/>
          <w:lang w:val="en-US" w:eastAsia="zh-CN"/>
        </w:rPr>
        <w:t>规定的处方</w:t>
      </w:r>
      <w:r>
        <w:rPr>
          <w:rFonts w:hint="eastAsia" w:cs="宋体"/>
          <w:b w:val="0"/>
          <w:bCs w:val="0"/>
          <w:sz w:val="24"/>
          <w:szCs w:val="24"/>
          <w:lang w:val="en-US" w:eastAsia="zh-CN"/>
        </w:rPr>
        <w:t>和</w:t>
      </w:r>
      <w:r>
        <w:rPr>
          <w:rFonts w:hint="eastAsia" w:ascii="宋体" w:hAnsi="宋体" w:eastAsia="宋体" w:cs="宋体"/>
          <w:b w:val="0"/>
          <w:bCs w:val="0"/>
          <w:sz w:val="24"/>
          <w:szCs w:val="24"/>
          <w:lang w:val="en-US" w:eastAsia="zh-CN"/>
        </w:rPr>
        <w:t>工艺生产，质量经检验合格，且包装符合医院规定的要求。</w:t>
      </w:r>
    </w:p>
    <w:p w14:paraId="7335FF4E">
      <w:pPr>
        <w:keepNext w:val="0"/>
        <w:keepLines w:val="0"/>
        <w:pageBreakBefore w:val="0"/>
        <w:widowControl w:val="0"/>
        <w:kinsoku/>
        <w:wordWrap/>
        <w:overflowPunct/>
        <w:topLinePunct w:val="0"/>
        <w:autoSpaceDE w:val="0"/>
        <w:autoSpaceDN w:val="0"/>
        <w:bidi w:val="0"/>
        <w:adjustRightInd/>
        <w:snapToGrid/>
        <w:spacing w:line="400" w:lineRule="exact"/>
        <w:ind w:firstLine="482" w:firstLineChars="200"/>
        <w:textAlignment w:val="auto"/>
        <w:rPr>
          <w:rFonts w:hint="eastAsia" w:ascii="宋体" w:hAnsi="宋体" w:eastAsia="宋体" w:cs="宋体"/>
          <w:b w:val="0"/>
          <w:bCs w:val="0"/>
          <w:sz w:val="24"/>
          <w:szCs w:val="24"/>
          <w:u w:val="none"/>
        </w:rPr>
      </w:pPr>
      <w:r>
        <w:rPr>
          <w:rFonts w:hint="eastAsia" w:ascii="宋体" w:hAnsi="宋体" w:eastAsia="宋体" w:cs="宋体"/>
          <w:b/>
          <w:bCs/>
          <w:sz w:val="24"/>
          <w:szCs w:val="24"/>
        </w:rPr>
        <w:t>2、委托</w:t>
      </w:r>
      <w:r>
        <w:rPr>
          <w:rFonts w:hint="eastAsia" w:cs="宋体"/>
          <w:b/>
          <w:bCs/>
          <w:sz w:val="24"/>
          <w:szCs w:val="24"/>
          <w:lang w:val="en-US" w:eastAsia="zh-CN"/>
        </w:rPr>
        <w:t>配制</w:t>
      </w:r>
      <w:r>
        <w:rPr>
          <w:rFonts w:hint="eastAsia" w:ascii="宋体" w:hAnsi="宋体" w:eastAsia="宋体" w:cs="宋体"/>
          <w:b/>
          <w:bCs/>
          <w:sz w:val="24"/>
          <w:szCs w:val="24"/>
        </w:rPr>
        <w:t>服务内容</w:t>
      </w:r>
      <w:r>
        <w:rPr>
          <w:rFonts w:hint="eastAsia" w:cs="宋体"/>
          <w:b/>
          <w:bCs/>
          <w:sz w:val="24"/>
          <w:szCs w:val="24"/>
          <w:lang w:val="en-US" w:eastAsia="zh-CN"/>
        </w:rPr>
        <w:t>包括</w:t>
      </w:r>
      <w:r>
        <w:rPr>
          <w:rFonts w:hint="eastAsia" w:ascii="宋体" w:hAnsi="宋体" w:eastAsia="宋体" w:cs="宋体"/>
          <w:b/>
          <w:bCs/>
          <w:sz w:val="24"/>
          <w:szCs w:val="24"/>
          <w:lang w:eastAsia="zh-CN"/>
        </w:rPr>
        <w:t>：</w:t>
      </w:r>
      <w:r>
        <w:rPr>
          <w:sz w:val="24"/>
        </w:rPr>
        <w:t>原材料、辅料、内外包装材料、标签及说明书的购买，生产检验、</w:t>
      </w:r>
      <w:r>
        <w:rPr>
          <w:sz w:val="24"/>
          <w:shd w:val="clear" w:fill="FFFFFF"/>
        </w:rPr>
        <w:t>正式生产前的试生产费用，</w:t>
      </w:r>
      <w:r>
        <w:rPr>
          <w:sz w:val="24"/>
        </w:rPr>
        <w:t>运输配送等。且必须对采购的原料、辅料及直接接触药品的包装材料的来源合法性、质量负责。</w:t>
      </w:r>
    </w:p>
    <w:p w14:paraId="353FC896">
      <w:pPr>
        <w:keepNext w:val="0"/>
        <w:keepLines w:val="0"/>
        <w:pageBreakBefore w:val="0"/>
        <w:kinsoku/>
        <w:wordWrap/>
        <w:overflowPunct/>
        <w:topLinePunct w:val="0"/>
        <w:bidi w:val="0"/>
        <w:adjustRightInd/>
        <w:spacing w:line="400" w:lineRule="exact"/>
        <w:ind w:firstLine="482" w:firstLineChars="200"/>
        <w:textAlignment w:val="auto"/>
        <w:rPr>
          <w:rFonts w:hint="eastAsia" w:ascii="宋体" w:hAnsi="宋体" w:eastAsia="宋体" w:cs="宋体"/>
          <w:b w:val="0"/>
          <w:bCs w:val="0"/>
          <w:sz w:val="24"/>
          <w:szCs w:val="24"/>
          <w:u w:val="double"/>
          <w:lang w:val="en-US" w:eastAsia="zh-CN"/>
        </w:rPr>
      </w:pPr>
      <w:r>
        <w:rPr>
          <w:rFonts w:hint="eastAsia" w:ascii="宋体" w:hAnsi="宋体" w:eastAsia="宋体" w:cs="宋体"/>
          <w:b/>
          <w:bCs/>
          <w:sz w:val="24"/>
          <w:szCs w:val="24"/>
          <w:lang w:val="en-US" w:eastAsia="zh-CN" w:bidi="ar-SA"/>
        </w:rPr>
        <w:t>3、项目预算</w:t>
      </w:r>
      <w:r>
        <w:rPr>
          <w:b/>
          <w:sz w:val="24"/>
        </w:rPr>
        <w:t>金额</w:t>
      </w:r>
      <w:r>
        <w:rPr>
          <w:rFonts w:hint="eastAsia" w:ascii="宋体" w:hAnsi="宋体" w:eastAsia="宋体" w:cs="宋体"/>
          <w:b/>
          <w:bCs/>
          <w:sz w:val="24"/>
          <w:szCs w:val="24"/>
          <w:lang w:val="en-US" w:eastAsia="zh-CN" w:bidi="ar-SA"/>
        </w:rPr>
        <w:t>：</w:t>
      </w:r>
      <w:r>
        <w:rPr>
          <w:sz w:val="24"/>
          <w:shd w:val="clear" w:fill="FFFFFF"/>
        </w:rPr>
        <w:t>42283200.00元（</w:t>
      </w:r>
      <w:r>
        <w:rPr>
          <w:sz w:val="24"/>
        </w:rPr>
        <w:t>肆仟贰佰贰拾捌万叁仟贰佰元整）</w:t>
      </w:r>
    </w:p>
    <w:p w14:paraId="233022B1">
      <w:pPr>
        <w:pStyle w:val="10"/>
        <w:ind w:firstLine="482"/>
        <w:jc w:val="both"/>
        <w:rPr>
          <w:sz w:val="24"/>
        </w:rPr>
      </w:pPr>
      <w:r>
        <w:rPr>
          <w:rFonts w:hint="eastAsia" w:ascii="宋体" w:hAnsi="宋体" w:eastAsia="宋体" w:cs="宋体"/>
          <w:b/>
          <w:bCs/>
          <w:sz w:val="24"/>
          <w:szCs w:val="24"/>
          <w:lang w:val="en-US" w:eastAsia="zh-CN"/>
        </w:rPr>
        <w:t>4、服务期限</w:t>
      </w:r>
      <w:r>
        <w:rPr>
          <w:b/>
          <w:sz w:val="24"/>
        </w:rPr>
        <w:t>（履行期限）</w:t>
      </w:r>
      <w:r>
        <w:rPr>
          <w:rFonts w:hint="eastAsia" w:ascii="宋体" w:hAnsi="宋体" w:eastAsia="宋体" w:cs="宋体"/>
          <w:b/>
          <w:bCs/>
          <w:sz w:val="24"/>
          <w:szCs w:val="24"/>
          <w:lang w:val="en-US" w:eastAsia="zh-CN"/>
        </w:rPr>
        <w:t>：</w:t>
      </w:r>
      <w:r>
        <w:rPr>
          <w:sz w:val="24"/>
        </w:rPr>
        <w:t>从签订合同生效之日起3年内有效或累计结算金额达到采购预算金额，以先到者为准。合同一签三年，</w:t>
      </w:r>
      <w:r>
        <w:rPr>
          <w:rFonts w:hint="eastAsia"/>
          <w:sz w:val="24"/>
          <w:lang w:eastAsia="zh-CN"/>
        </w:rPr>
        <w:t>服务商</w:t>
      </w:r>
      <w:r>
        <w:rPr>
          <w:sz w:val="24"/>
        </w:rPr>
        <w:t>履行期间如考核不通过，采购人有权终止合同。（如因国家省市政策调整或医院重大政策调整而不能继续履行全部或部份合同内容的，采购人有权提前终止全部或部份产品的委托配制服务）</w:t>
      </w:r>
    </w:p>
    <w:p w14:paraId="40232901">
      <w:pPr>
        <w:pStyle w:val="10"/>
        <w:ind w:firstLine="480"/>
        <w:jc w:val="both"/>
      </w:pPr>
      <w:r>
        <w:rPr>
          <w:sz w:val="24"/>
        </w:rPr>
        <w:t>5、合同履行期间，采购人不保证实际的采购数量，采购数量将根据实际使用情况执行。</w:t>
      </w:r>
      <w:r>
        <w:rPr>
          <w:rFonts w:hint="eastAsia"/>
          <w:sz w:val="24"/>
          <w:lang w:eastAsia="zh-CN"/>
        </w:rPr>
        <w:t>服务商</w:t>
      </w:r>
      <w:r>
        <w:rPr>
          <w:sz w:val="24"/>
        </w:rPr>
        <w:t>应按照采购人的需求，分批分次送货。</w:t>
      </w:r>
    </w:p>
    <w:p w14:paraId="00BCDF86">
      <w:pPr>
        <w:keepNext w:val="0"/>
        <w:keepLines w:val="0"/>
        <w:pageBreakBefore w:val="0"/>
        <w:widowControl w:val="0"/>
        <w:kinsoku/>
        <w:wordWrap/>
        <w:overflowPunct/>
        <w:topLinePunct w:val="0"/>
        <w:autoSpaceDE/>
        <w:autoSpaceDN/>
        <w:bidi w:val="0"/>
        <w:adjustRightInd/>
        <w:snapToGrid w:val="0"/>
        <w:spacing w:line="400" w:lineRule="exact"/>
        <w:ind w:firstLine="482" w:firstLineChars="200"/>
        <w:textAlignment w:val="auto"/>
        <w:rPr>
          <w:rFonts w:hint="eastAsia" w:ascii="宋体" w:hAnsi="宋体" w:eastAsia="宋体" w:cs="宋体"/>
          <w:b/>
          <w:bCs/>
          <w:color w:val="auto"/>
          <w:sz w:val="24"/>
          <w:szCs w:val="24"/>
          <w:u w:val="none"/>
          <w:lang w:val="en-US" w:eastAsia="zh-CN"/>
        </w:rPr>
      </w:pPr>
      <w:r>
        <w:rPr>
          <w:rFonts w:hint="eastAsia" w:ascii="宋体" w:hAnsi="宋体" w:eastAsia="宋体" w:cs="宋体"/>
          <w:b/>
          <w:bCs/>
          <w:color w:val="auto"/>
          <w:sz w:val="24"/>
          <w:szCs w:val="24"/>
          <w:u w:val="none"/>
          <w:lang w:val="en-US" w:eastAsia="zh-CN"/>
        </w:rPr>
        <w:t>二</w:t>
      </w:r>
      <w:r>
        <w:rPr>
          <w:rFonts w:hint="eastAsia" w:ascii="宋体" w:hAnsi="宋体" w:eastAsia="宋体" w:cs="宋体"/>
          <w:b/>
          <w:bCs/>
          <w:color w:val="auto"/>
          <w:sz w:val="24"/>
          <w:szCs w:val="24"/>
          <w:u w:val="none"/>
        </w:rPr>
        <w:t>、委托</w:t>
      </w:r>
      <w:r>
        <w:rPr>
          <w:rFonts w:hint="eastAsia" w:ascii="宋体" w:hAnsi="宋体" w:eastAsia="宋体" w:cs="宋体"/>
          <w:b/>
          <w:bCs/>
          <w:color w:val="auto"/>
          <w:sz w:val="24"/>
          <w:szCs w:val="24"/>
          <w:u w:val="none"/>
          <w:lang w:val="en-US" w:eastAsia="zh-CN"/>
        </w:rPr>
        <w:t>项目清单</w:t>
      </w:r>
    </w:p>
    <w:p w14:paraId="72E2C718">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宋体" w:hAnsi="宋体" w:eastAsia="宋体" w:cs="宋体"/>
          <w:sz w:val="24"/>
          <w:szCs w:val="24"/>
          <w:u w:val="none"/>
          <w:lang w:val="en-US" w:eastAsia="zh-CN" w:bidi="ar-SA"/>
        </w:rPr>
      </w:pPr>
      <w:r>
        <w:rPr>
          <w:rFonts w:hint="eastAsia" w:ascii="宋体" w:hAnsi="宋体" w:eastAsia="宋体" w:cs="宋体"/>
          <w:sz w:val="24"/>
          <w:szCs w:val="24"/>
          <w:lang w:val="en-US" w:eastAsia="zh-CN" w:bidi="ar-SA"/>
        </w:rPr>
        <w:t>2</w:t>
      </w:r>
      <w:r>
        <w:rPr>
          <w:rFonts w:hint="eastAsia" w:cs="宋体"/>
          <w:sz w:val="24"/>
          <w:szCs w:val="24"/>
          <w:lang w:val="en-US" w:eastAsia="zh-CN" w:bidi="ar-SA"/>
        </w:rPr>
        <w:t>4</w:t>
      </w:r>
      <w:r>
        <w:rPr>
          <w:rFonts w:hint="eastAsia" w:ascii="宋体" w:hAnsi="宋体" w:eastAsia="宋体" w:cs="宋体"/>
          <w:sz w:val="24"/>
          <w:szCs w:val="24"/>
          <w:lang w:val="en-US" w:eastAsia="zh-CN" w:bidi="ar-SA"/>
        </w:rPr>
        <w:t>个制剂品种，涉及</w:t>
      </w:r>
      <w:r>
        <w:rPr>
          <w:rFonts w:hint="eastAsia" w:cs="宋体"/>
          <w:sz w:val="24"/>
          <w:szCs w:val="24"/>
          <w:lang w:val="en-US" w:eastAsia="zh-CN" w:bidi="ar-SA"/>
        </w:rPr>
        <w:t>5种</w:t>
      </w:r>
      <w:r>
        <w:rPr>
          <w:rFonts w:hint="eastAsia" w:ascii="宋体" w:hAnsi="宋体" w:eastAsia="宋体" w:cs="宋体"/>
          <w:sz w:val="24"/>
          <w:szCs w:val="24"/>
          <w:lang w:val="en-US" w:eastAsia="zh-CN" w:bidi="ar-SA"/>
        </w:rPr>
        <w:t>剂型：片剂、</w:t>
      </w:r>
      <w:r>
        <w:rPr>
          <w:rFonts w:hint="eastAsia" w:ascii="宋体" w:hAnsi="宋体" w:eastAsia="宋体" w:cs="宋体"/>
          <w:sz w:val="24"/>
          <w:szCs w:val="24"/>
          <w:u w:val="none"/>
          <w:lang w:val="en-US" w:eastAsia="zh-CN" w:bidi="ar-SA"/>
        </w:rPr>
        <w:t>颗粒剂、合剂</w:t>
      </w:r>
      <w:r>
        <w:rPr>
          <w:rFonts w:hint="eastAsia" w:cs="宋体"/>
          <w:sz w:val="24"/>
          <w:szCs w:val="24"/>
          <w:u w:val="none"/>
          <w:lang w:val="en-US" w:eastAsia="zh-CN" w:bidi="ar-SA"/>
        </w:rPr>
        <w:t>（口服液）</w:t>
      </w:r>
      <w:r>
        <w:rPr>
          <w:rFonts w:hint="eastAsia" w:ascii="宋体" w:hAnsi="宋体" w:eastAsia="宋体" w:cs="宋体"/>
          <w:sz w:val="24"/>
          <w:szCs w:val="24"/>
          <w:u w:val="none"/>
          <w:lang w:val="en-US" w:eastAsia="zh-CN" w:bidi="ar-SA"/>
        </w:rPr>
        <w:t>、糖浆剂</w:t>
      </w:r>
      <w:r>
        <w:rPr>
          <w:rFonts w:hint="eastAsia" w:ascii="宋体" w:hAnsi="宋体" w:eastAsia="宋体" w:cs="宋体"/>
          <w:sz w:val="24"/>
          <w:szCs w:val="24"/>
          <w:u w:val="none"/>
          <w:lang w:val="en-US" w:eastAsia="en-US" w:bidi="ar-SA"/>
        </w:rPr>
        <w:t>、</w:t>
      </w:r>
      <w:r>
        <w:rPr>
          <w:rFonts w:hint="eastAsia" w:ascii="宋体" w:hAnsi="宋体" w:eastAsia="宋体" w:cs="宋体"/>
          <w:sz w:val="24"/>
          <w:szCs w:val="24"/>
          <w:u w:val="none"/>
          <w:lang w:val="en-US" w:eastAsia="zh-CN" w:bidi="ar-SA"/>
        </w:rPr>
        <w:t>外用</w:t>
      </w:r>
      <w:r>
        <w:rPr>
          <w:rFonts w:hint="eastAsia" w:cs="宋体"/>
          <w:sz w:val="24"/>
          <w:szCs w:val="24"/>
          <w:u w:val="none"/>
          <w:lang w:val="en-US" w:eastAsia="zh-CN" w:bidi="ar-SA"/>
        </w:rPr>
        <w:t>中药</w:t>
      </w:r>
      <w:r>
        <w:rPr>
          <w:rFonts w:hint="eastAsia" w:ascii="宋体" w:hAnsi="宋体" w:eastAsia="宋体" w:cs="宋体"/>
          <w:sz w:val="24"/>
          <w:szCs w:val="24"/>
          <w:u w:val="none"/>
          <w:lang w:val="en-US" w:eastAsia="en-US" w:bidi="ar-SA"/>
        </w:rPr>
        <w:t>散剂委托</w:t>
      </w:r>
      <w:r>
        <w:rPr>
          <w:rFonts w:hint="eastAsia" w:cs="宋体"/>
          <w:sz w:val="24"/>
          <w:szCs w:val="24"/>
          <w:u w:val="none"/>
          <w:lang w:val="en-US" w:eastAsia="zh-CN" w:bidi="ar-SA"/>
        </w:rPr>
        <w:t>配制</w:t>
      </w:r>
      <w:r>
        <w:rPr>
          <w:rFonts w:hint="eastAsia" w:ascii="宋体" w:hAnsi="宋体" w:eastAsia="宋体" w:cs="宋体"/>
          <w:sz w:val="24"/>
          <w:szCs w:val="24"/>
          <w:u w:val="none"/>
          <w:lang w:val="en-US" w:eastAsia="zh-CN" w:bidi="ar-SA"/>
        </w:rPr>
        <w:t>：</w:t>
      </w:r>
    </w:p>
    <w:tbl>
      <w:tblPr>
        <w:tblStyle w:val="4"/>
        <w:tblpPr w:leftFromText="180" w:rightFromText="180" w:vertAnchor="text" w:horzAnchor="page" w:tblpX="1418" w:tblpY="1110"/>
        <w:tblOverlap w:val="never"/>
        <w:tblW w:w="9076" w:type="dxa"/>
        <w:tblInd w:w="0" w:type="dxa"/>
        <w:tblLayout w:type="fixed"/>
        <w:tblCellMar>
          <w:top w:w="0" w:type="dxa"/>
          <w:left w:w="108" w:type="dxa"/>
          <w:bottom w:w="0" w:type="dxa"/>
          <w:right w:w="108" w:type="dxa"/>
        </w:tblCellMar>
      </w:tblPr>
      <w:tblGrid>
        <w:gridCol w:w="670"/>
        <w:gridCol w:w="2342"/>
        <w:gridCol w:w="1800"/>
        <w:gridCol w:w="1395"/>
        <w:gridCol w:w="1547"/>
        <w:gridCol w:w="1322"/>
      </w:tblGrid>
      <w:tr w14:paraId="6C948922">
        <w:tblPrEx>
          <w:tblCellMar>
            <w:top w:w="0" w:type="dxa"/>
            <w:left w:w="108" w:type="dxa"/>
            <w:bottom w:w="0" w:type="dxa"/>
            <w:right w:w="108" w:type="dxa"/>
          </w:tblCellMar>
        </w:tblPrEx>
        <w:trPr>
          <w:trHeight w:val="72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5AE20B9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序号</w:t>
            </w:r>
          </w:p>
        </w:tc>
        <w:tc>
          <w:tcPr>
            <w:tcW w:w="2342" w:type="dxa"/>
            <w:tcBorders>
              <w:top w:val="single" w:color="000000" w:sz="4" w:space="0"/>
              <w:left w:val="single" w:color="000000" w:sz="4" w:space="0"/>
              <w:bottom w:val="single" w:color="000000" w:sz="4" w:space="0"/>
              <w:right w:val="single" w:color="000000" w:sz="4" w:space="0"/>
            </w:tcBorders>
            <w:vAlign w:val="center"/>
          </w:tcPr>
          <w:p w14:paraId="5DBE315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名称</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EBAA26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包装规格</w:t>
            </w:r>
          </w:p>
        </w:tc>
        <w:tc>
          <w:tcPr>
            <w:tcW w:w="1395" w:type="dxa"/>
            <w:tcBorders>
              <w:top w:val="single" w:color="000000" w:sz="4" w:space="0"/>
              <w:left w:val="single" w:color="000000" w:sz="4" w:space="0"/>
              <w:bottom w:val="single" w:color="000000" w:sz="4" w:space="0"/>
              <w:right w:val="single" w:color="000000" w:sz="4" w:space="0"/>
            </w:tcBorders>
            <w:vAlign w:val="center"/>
          </w:tcPr>
          <w:p w14:paraId="2D5DA548">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剂型</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0A97D761">
            <w:pPr>
              <w:widowControl/>
              <w:tabs>
                <w:tab w:val="left" w:pos="342"/>
              </w:tabs>
              <w:jc w:val="left"/>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4"/>
                <w:highlight w:val="none"/>
                <w:lang w:bidi="ar"/>
              </w:rPr>
              <w:t>预计</w:t>
            </w:r>
            <w:r>
              <w:rPr>
                <w:rFonts w:hint="eastAsia" w:cs="宋体"/>
                <w:b/>
                <w:bCs/>
                <w:color w:val="auto"/>
                <w:kern w:val="0"/>
                <w:sz w:val="24"/>
                <w:highlight w:val="none"/>
                <w:lang w:bidi="ar"/>
              </w:rPr>
              <w:t>年</w:t>
            </w:r>
            <w:r>
              <w:rPr>
                <w:rFonts w:hint="eastAsia" w:ascii="宋体" w:hAnsi="宋体" w:eastAsia="宋体" w:cs="宋体"/>
                <w:b/>
                <w:bCs/>
                <w:color w:val="auto"/>
                <w:kern w:val="0"/>
                <w:sz w:val="24"/>
                <w:highlight w:val="none"/>
                <w:lang w:bidi="ar"/>
              </w:rPr>
              <w:t>加工数量</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05BD28FF">
            <w:pPr>
              <w:widowControl/>
              <w:jc w:val="center"/>
              <w:textAlignment w:val="center"/>
              <w:rPr>
                <w:rFonts w:hint="eastAsia" w:ascii="宋体" w:hAnsi="宋体" w:eastAsia="宋体" w:cs="宋体"/>
                <w:b/>
                <w:bCs/>
                <w:color w:val="auto"/>
                <w:sz w:val="24"/>
                <w:highlight w:val="none"/>
              </w:rPr>
            </w:pPr>
            <w:r>
              <w:rPr>
                <w:rFonts w:hint="eastAsia" w:ascii="宋体" w:hAnsi="宋体" w:eastAsia="宋体" w:cs="宋体"/>
                <w:b/>
                <w:bCs/>
                <w:color w:val="auto"/>
                <w:kern w:val="0"/>
                <w:sz w:val="24"/>
                <w:highlight w:val="none"/>
                <w:lang w:bidi="ar"/>
              </w:rPr>
              <w:t>单位</w:t>
            </w:r>
          </w:p>
        </w:tc>
      </w:tr>
      <w:tr w14:paraId="3553F992">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58AB45D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20D4E81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龙黄泻肝颗粒</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36F91DF">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12g*12袋/包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352179E3">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颗粒剂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6080DCA1">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118000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1B32797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r w14:paraId="3A20C4A2">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4B3DD4C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2</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079427C3">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双柏外洗散</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F5FD58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100g/包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662D4A8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外用散剂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4CE01E06">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173000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471A1D0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r w14:paraId="6C043A06">
        <w:tblPrEx>
          <w:tblCellMar>
            <w:top w:w="0" w:type="dxa"/>
            <w:left w:w="108" w:type="dxa"/>
            <w:bottom w:w="0" w:type="dxa"/>
            <w:right w:w="108" w:type="dxa"/>
          </w:tblCellMar>
        </w:tblPrEx>
        <w:trPr>
          <w:trHeight w:val="396"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126EF7A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3</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598AB72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参苓白术健脾颗粒</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6B131F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12g*12袋/包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1EC8CC06">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颗粒剂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05F22BDF">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67000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50BCCA4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r w14:paraId="7926CB9C">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00439BA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4</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0649C1E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参杞补血汁</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B60EC3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200ml/瓶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1F01B0E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合剂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26C36EEC">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97000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582B84D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38B16F0D">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031B9CE6">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5</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3A2903B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补肾养骨口服液</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E2BB95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10ml*10支/盒</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35479DF9">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合剂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589D0A2A">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33000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2238E30D">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盒</w:t>
            </w:r>
          </w:p>
        </w:tc>
      </w:tr>
      <w:tr w14:paraId="1F0E57DA">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04FCEC1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6</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3502FD18">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参味安神糖浆</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87D860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10ml*10支/盒</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1AFBD28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糖浆剂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2C218D88">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39000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5291D529">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盒</w:t>
            </w:r>
          </w:p>
        </w:tc>
      </w:tr>
      <w:tr w14:paraId="1DE5F0F5">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5F69C40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7</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64131FD3">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气胃滞痛口服液</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B9E3D6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10ml*6支/盒</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90992C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合剂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3D07334B">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20000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53081DF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盒</w:t>
            </w:r>
          </w:p>
        </w:tc>
      </w:tr>
      <w:tr w14:paraId="55374F8B">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406FDA0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8</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620CE10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益气生脉片</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3BF5E79">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0.23g*60片/瓶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8B1173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片剂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504976A8">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21000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322AD19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05C12903">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2F5B6D0D">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9</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62FEBE7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杷桔露</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75C1F296">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200ml/瓶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3102E69F">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合剂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74D58E79">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13000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6DFA99A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5E3E2F59">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52404FE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3B9A3F3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胃痛舒安汤</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90FEB1F">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200ml/瓶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85CFB48">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合剂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36E9AB17">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9000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68ED245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4728A7CD">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674EFAF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11</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2874660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鼻屏风颗粒</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4DB92F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140g/瓶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39D675E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颗粒剂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582896F2">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9000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4A18410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6FFA1DD2">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74346C7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12</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49F8138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复方祛湿颗粒</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665019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120g/瓶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020BC076">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颗粒剂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4D9B679B">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8000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73A50836">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7A75436E">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45BD6F4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13</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07CBC6A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复方咽喉颗粒</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80DDF5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120g/瓶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51635F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颗粒剂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14057D97">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10000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3E67396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1C390AE1">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217999C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14</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508E759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参麦益气养阴片</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7D8AEC6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0.32g*60片/瓶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99B6D6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片剂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3610A8BC">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6000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05C0252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6573ADE8">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4126A41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15</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6BBF66A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骨洗散</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66DD5CF">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100g/包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436DB16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外用散剂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5DAD8762">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4000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4B51CFA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r w14:paraId="6445FDC2">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4E6A1CE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16</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698A0C0C">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皮炎止痒外洗散</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5CACEC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100g/包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DD059E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外用散剂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1967318D">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6000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289E1C6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r w14:paraId="027180E4">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104CFF7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17</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73F07656">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化浊降脂颗粒</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73719E4">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120g/瓶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EA370F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颗粒剂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3511C8E7">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2000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1406B43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7F9569FA">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61E883E9">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18</w:t>
            </w:r>
          </w:p>
        </w:tc>
        <w:tc>
          <w:tcPr>
            <w:tcW w:w="2342" w:type="dxa"/>
            <w:tcBorders>
              <w:top w:val="single" w:color="000000" w:sz="4" w:space="0"/>
              <w:left w:val="single" w:color="000000" w:sz="4" w:space="0"/>
              <w:bottom w:val="single" w:color="000000" w:sz="4" w:space="0"/>
              <w:right w:val="single" w:color="000000" w:sz="4" w:space="0"/>
            </w:tcBorders>
            <w:noWrap/>
            <w:vAlign w:val="center"/>
          </w:tcPr>
          <w:p w14:paraId="75EE8DD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痔外洗散</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1848597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80g/包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5452E2C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外用散剂</w:t>
            </w:r>
          </w:p>
        </w:tc>
        <w:tc>
          <w:tcPr>
            <w:tcW w:w="1547" w:type="dxa"/>
            <w:tcBorders>
              <w:top w:val="single" w:color="000000" w:sz="4" w:space="0"/>
              <w:left w:val="single" w:color="000000" w:sz="4" w:space="0"/>
              <w:bottom w:val="single" w:color="000000" w:sz="4" w:space="0"/>
              <w:right w:val="single" w:color="000000" w:sz="4" w:space="0"/>
            </w:tcBorders>
            <w:noWrap/>
            <w:vAlign w:val="center"/>
          </w:tcPr>
          <w:p w14:paraId="40BE3948">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b/>
                <w:bCs/>
                <w:color w:val="auto"/>
                <w:kern w:val="0"/>
                <w:sz w:val="20"/>
                <w:szCs w:val="20"/>
                <w:highlight w:val="none"/>
                <w:lang w:bidi="ar"/>
              </w:rPr>
              <w:t xml:space="preserve">400 </w:t>
            </w:r>
          </w:p>
        </w:tc>
        <w:tc>
          <w:tcPr>
            <w:tcW w:w="1322" w:type="dxa"/>
            <w:tcBorders>
              <w:top w:val="single" w:color="000000" w:sz="4" w:space="0"/>
              <w:left w:val="single" w:color="000000" w:sz="4" w:space="0"/>
              <w:bottom w:val="single" w:color="000000" w:sz="4" w:space="0"/>
              <w:right w:val="single" w:color="000000" w:sz="4" w:space="0"/>
            </w:tcBorders>
            <w:noWrap/>
            <w:vAlign w:val="center"/>
          </w:tcPr>
          <w:p w14:paraId="560065B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r w14:paraId="2C49325C">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2C4DA7CD">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19</w:t>
            </w:r>
          </w:p>
        </w:tc>
        <w:tc>
          <w:tcPr>
            <w:tcW w:w="2342" w:type="dxa"/>
            <w:tcBorders>
              <w:top w:val="single" w:color="000000" w:sz="4" w:space="0"/>
              <w:left w:val="single" w:color="000000" w:sz="4" w:space="0"/>
              <w:bottom w:val="single" w:color="000000" w:sz="4" w:space="0"/>
              <w:right w:val="single" w:color="000000" w:sz="4" w:space="0"/>
            </w:tcBorders>
            <w:vAlign w:val="center"/>
          </w:tcPr>
          <w:p w14:paraId="73C4FD3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复方银黄片</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3B43055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0.155g*100片/瓶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F8AF86F">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片剂</w:t>
            </w:r>
          </w:p>
        </w:tc>
        <w:tc>
          <w:tcPr>
            <w:tcW w:w="1547" w:type="dxa"/>
            <w:tcBorders>
              <w:top w:val="single" w:color="000000" w:sz="4" w:space="0"/>
              <w:left w:val="single" w:color="000000" w:sz="4" w:space="0"/>
              <w:bottom w:val="single" w:color="000000" w:sz="4" w:space="0"/>
              <w:right w:val="single" w:color="000000" w:sz="4" w:space="0"/>
            </w:tcBorders>
            <w:vAlign w:val="center"/>
          </w:tcPr>
          <w:p w14:paraId="36BD9F82">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视具体情况确定</w:t>
            </w:r>
          </w:p>
        </w:tc>
        <w:tc>
          <w:tcPr>
            <w:tcW w:w="1322" w:type="dxa"/>
            <w:tcBorders>
              <w:top w:val="single" w:color="000000" w:sz="4" w:space="0"/>
              <w:left w:val="single" w:color="000000" w:sz="4" w:space="0"/>
              <w:bottom w:val="single" w:color="000000" w:sz="4" w:space="0"/>
              <w:right w:val="single" w:color="000000" w:sz="4" w:space="0"/>
            </w:tcBorders>
            <w:vAlign w:val="center"/>
          </w:tcPr>
          <w:p w14:paraId="02E89979">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37601972">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751079F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20</w:t>
            </w:r>
          </w:p>
        </w:tc>
        <w:tc>
          <w:tcPr>
            <w:tcW w:w="2342" w:type="dxa"/>
            <w:tcBorders>
              <w:top w:val="single" w:color="000000" w:sz="4" w:space="0"/>
              <w:left w:val="single" w:color="000000" w:sz="4" w:space="0"/>
              <w:bottom w:val="single" w:color="000000" w:sz="4" w:space="0"/>
              <w:right w:val="single" w:color="000000" w:sz="4" w:space="0"/>
            </w:tcBorders>
            <w:vAlign w:val="center"/>
          </w:tcPr>
          <w:p w14:paraId="0197E7E7">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软坚散结片</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408645E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0.22g*60片/瓶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E42E60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片剂</w:t>
            </w:r>
          </w:p>
        </w:tc>
        <w:tc>
          <w:tcPr>
            <w:tcW w:w="1547" w:type="dxa"/>
            <w:tcBorders>
              <w:top w:val="single" w:color="000000" w:sz="4" w:space="0"/>
              <w:left w:val="single" w:color="000000" w:sz="4" w:space="0"/>
              <w:bottom w:val="single" w:color="000000" w:sz="4" w:space="0"/>
              <w:right w:val="single" w:color="000000" w:sz="4" w:space="0"/>
            </w:tcBorders>
            <w:vAlign w:val="center"/>
          </w:tcPr>
          <w:p w14:paraId="0BA6072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视具体情况确定</w:t>
            </w:r>
          </w:p>
        </w:tc>
        <w:tc>
          <w:tcPr>
            <w:tcW w:w="1322" w:type="dxa"/>
            <w:tcBorders>
              <w:top w:val="single" w:color="000000" w:sz="4" w:space="0"/>
              <w:left w:val="single" w:color="000000" w:sz="4" w:space="0"/>
              <w:bottom w:val="single" w:color="000000" w:sz="4" w:space="0"/>
              <w:right w:val="single" w:color="000000" w:sz="4" w:space="0"/>
            </w:tcBorders>
            <w:vAlign w:val="center"/>
          </w:tcPr>
          <w:p w14:paraId="7837891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0EA97505">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3629BB14">
            <w:pPr>
              <w:widowControl/>
              <w:jc w:val="center"/>
              <w:textAlignment w:val="center"/>
              <w:rPr>
                <w:rFonts w:hint="eastAsia" w:ascii="宋体" w:hAnsi="宋体" w:eastAsia="宋体" w:cs="宋体"/>
                <w:color w:val="auto"/>
                <w:kern w:val="0"/>
                <w:sz w:val="24"/>
                <w:highlight w:val="none"/>
                <w:lang w:val="en-US" w:eastAsia="zh-CN" w:bidi="ar"/>
              </w:rPr>
            </w:pPr>
            <w:r>
              <w:rPr>
                <w:rFonts w:hint="eastAsia" w:ascii="宋体" w:hAnsi="宋体" w:eastAsia="宋体" w:cs="宋体"/>
                <w:color w:val="auto"/>
                <w:kern w:val="0"/>
                <w:sz w:val="24"/>
                <w:highlight w:val="none"/>
                <w:lang w:bidi="ar"/>
              </w:rPr>
              <w:t>2</w:t>
            </w:r>
            <w:r>
              <w:rPr>
                <w:rFonts w:hint="eastAsia" w:cs="宋体"/>
                <w:color w:val="auto"/>
                <w:kern w:val="0"/>
                <w:sz w:val="24"/>
                <w:highlight w:val="none"/>
                <w:lang w:val="en-US" w:eastAsia="zh-CN" w:bidi="ar"/>
              </w:rPr>
              <w:t>1</w:t>
            </w:r>
          </w:p>
        </w:tc>
        <w:tc>
          <w:tcPr>
            <w:tcW w:w="2342" w:type="dxa"/>
            <w:tcBorders>
              <w:top w:val="single" w:color="000000" w:sz="4" w:space="0"/>
              <w:left w:val="single" w:color="000000" w:sz="4" w:space="0"/>
              <w:bottom w:val="single" w:color="000000" w:sz="4" w:space="0"/>
              <w:right w:val="single" w:color="000000" w:sz="4" w:space="0"/>
            </w:tcBorders>
            <w:vAlign w:val="center"/>
          </w:tcPr>
          <w:p w14:paraId="254D3D76">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人参正骨颗粒</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10B3CEC">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120g/瓶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666C19C2">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颗粒剂</w:t>
            </w:r>
          </w:p>
        </w:tc>
        <w:tc>
          <w:tcPr>
            <w:tcW w:w="1547" w:type="dxa"/>
            <w:tcBorders>
              <w:top w:val="single" w:color="000000" w:sz="4" w:space="0"/>
              <w:left w:val="single" w:color="000000" w:sz="4" w:space="0"/>
              <w:bottom w:val="single" w:color="000000" w:sz="4" w:space="0"/>
              <w:right w:val="single" w:color="000000" w:sz="4" w:space="0"/>
            </w:tcBorders>
            <w:vAlign w:val="center"/>
          </w:tcPr>
          <w:p w14:paraId="3D642E5C">
            <w:pPr>
              <w:widowControl/>
              <w:jc w:val="center"/>
              <w:textAlignment w:val="center"/>
              <w:rPr>
                <w:rFonts w:hint="eastAsia" w:ascii="宋体" w:hAnsi="宋体" w:eastAsia="宋体" w:cs="宋体"/>
                <w:color w:val="auto"/>
                <w:kern w:val="0"/>
                <w:sz w:val="24"/>
                <w:highlight w:val="none"/>
                <w:lang w:bidi="ar"/>
              </w:rPr>
            </w:pPr>
            <w:r>
              <w:rPr>
                <w:rFonts w:hint="eastAsia" w:ascii="宋体" w:hAnsi="宋体" w:eastAsia="宋体" w:cs="宋体"/>
                <w:color w:val="auto"/>
                <w:kern w:val="0"/>
                <w:sz w:val="24"/>
                <w:highlight w:val="none"/>
                <w:lang w:bidi="ar"/>
              </w:rPr>
              <w:t>视具体情况确定</w:t>
            </w:r>
          </w:p>
        </w:tc>
        <w:tc>
          <w:tcPr>
            <w:tcW w:w="1322" w:type="dxa"/>
            <w:tcBorders>
              <w:top w:val="single" w:color="000000" w:sz="4" w:space="0"/>
              <w:left w:val="single" w:color="000000" w:sz="4" w:space="0"/>
              <w:bottom w:val="single" w:color="000000" w:sz="4" w:space="0"/>
              <w:right w:val="single" w:color="000000" w:sz="4" w:space="0"/>
            </w:tcBorders>
            <w:vAlign w:val="center"/>
          </w:tcPr>
          <w:p w14:paraId="2BD2DA48">
            <w:pPr>
              <w:widowControl/>
              <w:jc w:val="center"/>
              <w:textAlignment w:val="center"/>
              <w:rPr>
                <w:rFonts w:hint="eastAsia" w:ascii="宋体" w:hAnsi="宋体" w:eastAsia="宋体" w:cs="宋体"/>
                <w:b/>
                <w:bCs/>
                <w:color w:val="auto"/>
                <w:kern w:val="0"/>
                <w:sz w:val="24"/>
                <w:highlight w:val="none"/>
                <w:lang w:bidi="ar"/>
              </w:rPr>
            </w:pPr>
            <w:r>
              <w:rPr>
                <w:rFonts w:hint="eastAsia" w:ascii="宋体" w:hAnsi="宋体" w:eastAsia="宋体" w:cs="宋体"/>
                <w:color w:val="auto"/>
                <w:kern w:val="0"/>
                <w:sz w:val="24"/>
                <w:highlight w:val="none"/>
                <w:lang w:bidi="ar"/>
              </w:rPr>
              <w:t>瓶</w:t>
            </w:r>
          </w:p>
        </w:tc>
      </w:tr>
      <w:tr w14:paraId="473BB273">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598E2FD8">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bidi="ar"/>
              </w:rPr>
              <w:t>2</w:t>
            </w:r>
            <w:r>
              <w:rPr>
                <w:rFonts w:hint="eastAsia" w:cs="宋体"/>
                <w:color w:val="auto"/>
                <w:kern w:val="0"/>
                <w:sz w:val="24"/>
                <w:highlight w:val="none"/>
                <w:lang w:val="en-US" w:eastAsia="zh-CN" w:bidi="ar"/>
              </w:rPr>
              <w:t>2</w:t>
            </w:r>
          </w:p>
        </w:tc>
        <w:tc>
          <w:tcPr>
            <w:tcW w:w="2342" w:type="dxa"/>
            <w:tcBorders>
              <w:top w:val="single" w:color="000000" w:sz="4" w:space="0"/>
              <w:left w:val="single" w:color="000000" w:sz="4" w:space="0"/>
              <w:bottom w:val="single" w:color="000000" w:sz="4" w:space="0"/>
              <w:right w:val="single" w:color="000000" w:sz="4" w:space="0"/>
            </w:tcBorders>
            <w:vAlign w:val="center"/>
          </w:tcPr>
          <w:p w14:paraId="21FB9DC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妇科外洗散</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019F4170">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100g/包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5DA160B">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外用散剂</w:t>
            </w:r>
          </w:p>
        </w:tc>
        <w:tc>
          <w:tcPr>
            <w:tcW w:w="1547" w:type="dxa"/>
            <w:tcBorders>
              <w:top w:val="single" w:color="000000" w:sz="4" w:space="0"/>
              <w:left w:val="single" w:color="000000" w:sz="4" w:space="0"/>
              <w:bottom w:val="single" w:color="000000" w:sz="4" w:space="0"/>
              <w:right w:val="single" w:color="000000" w:sz="4" w:space="0"/>
            </w:tcBorders>
            <w:vAlign w:val="center"/>
          </w:tcPr>
          <w:p w14:paraId="792E57B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视具体情况确定</w:t>
            </w:r>
          </w:p>
        </w:tc>
        <w:tc>
          <w:tcPr>
            <w:tcW w:w="1322" w:type="dxa"/>
            <w:tcBorders>
              <w:top w:val="single" w:color="000000" w:sz="4" w:space="0"/>
              <w:left w:val="single" w:color="000000" w:sz="4" w:space="0"/>
              <w:bottom w:val="single" w:color="000000" w:sz="4" w:space="0"/>
              <w:right w:val="single" w:color="000000" w:sz="4" w:space="0"/>
            </w:tcBorders>
            <w:vAlign w:val="center"/>
          </w:tcPr>
          <w:p w14:paraId="21451E3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r w14:paraId="23AB2B95">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247DCD73">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bidi="ar"/>
              </w:rPr>
              <w:t>2</w:t>
            </w:r>
            <w:r>
              <w:rPr>
                <w:rFonts w:hint="eastAsia" w:cs="宋体"/>
                <w:color w:val="auto"/>
                <w:kern w:val="0"/>
                <w:sz w:val="24"/>
                <w:highlight w:val="none"/>
                <w:lang w:val="en-US" w:eastAsia="zh-CN" w:bidi="ar"/>
              </w:rPr>
              <w:t>3</w:t>
            </w:r>
          </w:p>
        </w:tc>
        <w:tc>
          <w:tcPr>
            <w:tcW w:w="2342" w:type="dxa"/>
            <w:tcBorders>
              <w:top w:val="single" w:color="000000" w:sz="4" w:space="0"/>
              <w:left w:val="single" w:color="000000" w:sz="4" w:space="0"/>
              <w:bottom w:val="single" w:color="000000" w:sz="4" w:space="0"/>
              <w:right w:val="single" w:color="000000" w:sz="4" w:space="0"/>
            </w:tcBorders>
            <w:vAlign w:val="center"/>
          </w:tcPr>
          <w:p w14:paraId="0E215A9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蛇舌草解毒片</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6E17518D">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0.31g*60片/瓶</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2D49C7A9">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片剂</w:t>
            </w:r>
          </w:p>
        </w:tc>
        <w:tc>
          <w:tcPr>
            <w:tcW w:w="1547" w:type="dxa"/>
            <w:tcBorders>
              <w:top w:val="single" w:color="000000" w:sz="4" w:space="0"/>
              <w:left w:val="single" w:color="000000" w:sz="4" w:space="0"/>
              <w:bottom w:val="single" w:color="000000" w:sz="4" w:space="0"/>
              <w:right w:val="single" w:color="000000" w:sz="4" w:space="0"/>
            </w:tcBorders>
            <w:vAlign w:val="center"/>
          </w:tcPr>
          <w:p w14:paraId="0729BAFF">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视具体情况确定</w:t>
            </w:r>
          </w:p>
        </w:tc>
        <w:tc>
          <w:tcPr>
            <w:tcW w:w="1322" w:type="dxa"/>
            <w:tcBorders>
              <w:top w:val="single" w:color="000000" w:sz="4" w:space="0"/>
              <w:left w:val="single" w:color="000000" w:sz="4" w:space="0"/>
              <w:bottom w:val="single" w:color="000000" w:sz="4" w:space="0"/>
              <w:right w:val="single" w:color="000000" w:sz="4" w:space="0"/>
            </w:tcBorders>
            <w:vAlign w:val="center"/>
          </w:tcPr>
          <w:p w14:paraId="41941165">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瓶</w:t>
            </w:r>
          </w:p>
        </w:tc>
      </w:tr>
      <w:tr w14:paraId="4D62EA52">
        <w:tblPrEx>
          <w:tblCellMar>
            <w:top w:w="0" w:type="dxa"/>
            <w:left w:w="108" w:type="dxa"/>
            <w:bottom w:w="0" w:type="dxa"/>
            <w:right w:w="108" w:type="dxa"/>
          </w:tblCellMar>
        </w:tblPrEx>
        <w:trPr>
          <w:trHeight w:val="400" w:hRule="atLeast"/>
        </w:trPr>
        <w:tc>
          <w:tcPr>
            <w:tcW w:w="670" w:type="dxa"/>
            <w:tcBorders>
              <w:top w:val="single" w:color="000000" w:sz="4" w:space="0"/>
              <w:left w:val="single" w:color="000000" w:sz="4" w:space="0"/>
              <w:bottom w:val="single" w:color="000000" w:sz="4" w:space="0"/>
              <w:right w:val="single" w:color="000000" w:sz="4" w:space="0"/>
            </w:tcBorders>
            <w:noWrap/>
            <w:vAlign w:val="center"/>
          </w:tcPr>
          <w:p w14:paraId="0159614F">
            <w:pPr>
              <w:widowControl/>
              <w:jc w:val="center"/>
              <w:textAlignment w:val="center"/>
              <w:rPr>
                <w:rFonts w:hint="eastAsia" w:ascii="宋体" w:hAnsi="宋体" w:eastAsia="宋体" w:cs="宋体"/>
                <w:color w:val="auto"/>
                <w:sz w:val="24"/>
                <w:highlight w:val="none"/>
                <w:lang w:eastAsia="zh-CN"/>
              </w:rPr>
            </w:pPr>
            <w:r>
              <w:rPr>
                <w:rFonts w:hint="eastAsia" w:ascii="宋体" w:hAnsi="宋体" w:eastAsia="宋体" w:cs="宋体"/>
                <w:color w:val="auto"/>
                <w:kern w:val="0"/>
                <w:sz w:val="24"/>
                <w:highlight w:val="none"/>
                <w:lang w:bidi="ar"/>
              </w:rPr>
              <w:t>2</w:t>
            </w:r>
            <w:r>
              <w:rPr>
                <w:rFonts w:hint="eastAsia" w:cs="宋体"/>
                <w:color w:val="auto"/>
                <w:kern w:val="0"/>
                <w:sz w:val="24"/>
                <w:highlight w:val="none"/>
                <w:lang w:val="en-US" w:eastAsia="zh-CN" w:bidi="ar"/>
              </w:rPr>
              <w:t>4</w:t>
            </w:r>
          </w:p>
        </w:tc>
        <w:tc>
          <w:tcPr>
            <w:tcW w:w="2342" w:type="dxa"/>
            <w:tcBorders>
              <w:top w:val="single" w:color="000000" w:sz="4" w:space="0"/>
              <w:left w:val="single" w:color="000000" w:sz="4" w:space="0"/>
              <w:bottom w:val="single" w:color="000000" w:sz="4" w:space="0"/>
              <w:right w:val="single" w:color="000000" w:sz="4" w:space="0"/>
            </w:tcBorders>
            <w:vAlign w:val="center"/>
          </w:tcPr>
          <w:p w14:paraId="1378D42D">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瘘外洗散</w:t>
            </w:r>
          </w:p>
        </w:tc>
        <w:tc>
          <w:tcPr>
            <w:tcW w:w="1800" w:type="dxa"/>
            <w:tcBorders>
              <w:top w:val="single" w:color="000000" w:sz="4" w:space="0"/>
              <w:left w:val="single" w:color="000000" w:sz="4" w:space="0"/>
              <w:bottom w:val="single" w:color="000000" w:sz="4" w:space="0"/>
              <w:right w:val="single" w:color="000000" w:sz="4" w:space="0"/>
            </w:tcBorders>
            <w:noWrap/>
            <w:vAlign w:val="center"/>
          </w:tcPr>
          <w:p w14:paraId="5AF80853">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100g/包</w:t>
            </w:r>
          </w:p>
        </w:tc>
        <w:tc>
          <w:tcPr>
            <w:tcW w:w="1395" w:type="dxa"/>
            <w:tcBorders>
              <w:top w:val="single" w:color="000000" w:sz="4" w:space="0"/>
              <w:left w:val="single" w:color="000000" w:sz="4" w:space="0"/>
              <w:bottom w:val="single" w:color="000000" w:sz="4" w:space="0"/>
              <w:right w:val="single" w:color="000000" w:sz="4" w:space="0"/>
            </w:tcBorders>
            <w:noWrap/>
            <w:vAlign w:val="center"/>
          </w:tcPr>
          <w:p w14:paraId="7E2A0A1E">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外用散剂</w:t>
            </w:r>
          </w:p>
        </w:tc>
        <w:tc>
          <w:tcPr>
            <w:tcW w:w="1547" w:type="dxa"/>
            <w:tcBorders>
              <w:top w:val="single" w:color="000000" w:sz="4" w:space="0"/>
              <w:left w:val="single" w:color="000000" w:sz="4" w:space="0"/>
              <w:bottom w:val="single" w:color="000000" w:sz="4" w:space="0"/>
              <w:right w:val="single" w:color="000000" w:sz="4" w:space="0"/>
            </w:tcBorders>
            <w:vAlign w:val="center"/>
          </w:tcPr>
          <w:p w14:paraId="1E2F7931">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视具体情况确定</w:t>
            </w:r>
          </w:p>
        </w:tc>
        <w:tc>
          <w:tcPr>
            <w:tcW w:w="1322" w:type="dxa"/>
            <w:tcBorders>
              <w:top w:val="single" w:color="000000" w:sz="4" w:space="0"/>
              <w:left w:val="single" w:color="000000" w:sz="4" w:space="0"/>
              <w:bottom w:val="single" w:color="000000" w:sz="4" w:space="0"/>
              <w:right w:val="single" w:color="000000" w:sz="4" w:space="0"/>
            </w:tcBorders>
            <w:vAlign w:val="center"/>
          </w:tcPr>
          <w:p w14:paraId="4CE4942A">
            <w:pPr>
              <w:widowControl/>
              <w:jc w:val="center"/>
              <w:textAlignment w:val="center"/>
              <w:rPr>
                <w:rFonts w:hint="eastAsia" w:ascii="宋体" w:hAnsi="宋体" w:eastAsia="宋体" w:cs="宋体"/>
                <w:color w:val="auto"/>
                <w:sz w:val="24"/>
                <w:highlight w:val="none"/>
              </w:rPr>
            </w:pPr>
            <w:r>
              <w:rPr>
                <w:rFonts w:hint="eastAsia" w:ascii="宋体" w:hAnsi="宋体" w:eastAsia="宋体" w:cs="宋体"/>
                <w:color w:val="auto"/>
                <w:kern w:val="0"/>
                <w:sz w:val="24"/>
                <w:highlight w:val="none"/>
                <w:lang w:bidi="ar"/>
              </w:rPr>
              <w:t>包</w:t>
            </w:r>
          </w:p>
        </w:tc>
      </w:tr>
    </w:tbl>
    <w:p w14:paraId="3BBCD8BB">
      <w:pPr>
        <w:keepNext w:val="0"/>
        <w:keepLines w:val="0"/>
        <w:pageBreakBefore w:val="0"/>
        <w:widowControl w:val="0"/>
        <w:kinsoku/>
        <w:wordWrap/>
        <w:overflowPunct/>
        <w:topLinePunct w:val="0"/>
        <w:autoSpaceDE/>
        <w:autoSpaceDN/>
        <w:bidi w:val="0"/>
        <w:adjustRightInd/>
        <w:snapToGrid w:val="0"/>
        <w:spacing w:line="400" w:lineRule="exact"/>
        <w:ind w:firstLine="480" w:firstLineChars="200"/>
        <w:textAlignment w:val="auto"/>
        <w:rPr>
          <w:rFonts w:hint="eastAsia" w:ascii="宋体" w:hAnsi="宋体" w:eastAsia="宋体" w:cs="宋体"/>
          <w:sz w:val="24"/>
          <w:szCs w:val="24"/>
          <w:u w:val="none"/>
          <w:lang w:val="en-US" w:eastAsia="zh-CN" w:bidi="ar-SA"/>
        </w:rPr>
      </w:pPr>
    </w:p>
    <w:p w14:paraId="20D6FC5A">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right="0"/>
        <w:textAlignment w:val="auto"/>
        <w:rPr>
          <w:rFonts w:hint="eastAsia" w:cs="宋体"/>
          <w:b/>
          <w:bCs/>
          <w:color w:val="auto"/>
          <w:sz w:val="24"/>
          <w:szCs w:val="24"/>
          <w:lang w:val="en-US" w:eastAsia="zh-CN" w:bidi="ar-SA"/>
        </w:rPr>
      </w:pPr>
      <w:r>
        <w:rPr>
          <w:rFonts w:hint="eastAsia" w:cs="宋体"/>
          <w:b/>
          <w:bCs/>
          <w:color w:val="auto"/>
          <w:sz w:val="24"/>
          <w:szCs w:val="24"/>
          <w:lang w:val="en-US" w:eastAsia="zh-CN" w:bidi="ar-SA"/>
        </w:rPr>
        <w:t>三、质量要求</w:t>
      </w:r>
    </w:p>
    <w:p w14:paraId="668B08AE">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须严格按照制剂注册(备案)批件规定的处方和工艺进行生产，确保产品质量合格，包装等均符合医院的要求。</w:t>
      </w:r>
    </w:p>
    <w:p w14:paraId="005A9CE8">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交付的产品质量必须符合国家相关标准、行业标准要求。</w:t>
      </w:r>
    </w:p>
    <w:p w14:paraId="450024F0">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3、产品包装均应有良好的防湿、防锈、防潮、防雨、防腐及防碰撞的措施。</w:t>
      </w:r>
    </w:p>
    <w:p w14:paraId="33DF48DB">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4、</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须从具有相应资质的供应商采购合格的原辅料、包装材料等，同时必须将供应商的资质材料提供至采购人，此外</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须按照《药品生产监督管理办法》、《中华人民共和国药品管理法》的相关要求对原辅料、包材以及中间体（药材细粉、提取物）等进行放置贮存，以备生产需要。</w:t>
      </w:r>
    </w:p>
    <w:p w14:paraId="708EF3AB">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5、</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负责采购制剂原辅料和包装材料。受托配制制剂使用的辅料和直接接触制剂的包装材料、容器等，应符合国家药监部门有关辅料、直接接触药品的包装材料和容器的管理规定。原则上，用于生产的原料、辅料和包装材料，并应符合2年效期以上使用的内控标准。如违规使用，所造成的责任由</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承担。</w:t>
      </w:r>
    </w:p>
    <w:p w14:paraId="4EE241A1">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7、</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应制定严格的内控药品质量标准体系（包括原料、各单元工艺环节物料、中药制剂成品检验标准及过程控制指标），明确生产全过程质量控制的措施、关键质控点及相关质量要求，</w:t>
      </w:r>
      <w:r>
        <w:rPr>
          <w:rFonts w:hint="eastAsia" w:cs="宋体"/>
          <w:color w:val="auto"/>
          <w:sz w:val="24"/>
          <w:szCs w:val="24"/>
          <w:lang w:val="en-US" w:eastAsia="zh-CN" w:bidi="ar-SA"/>
        </w:rPr>
        <w:t>保障</w:t>
      </w:r>
      <w:r>
        <w:rPr>
          <w:rFonts w:hint="eastAsia" w:ascii="宋体" w:hAnsi="宋体" w:eastAsia="宋体" w:cs="宋体"/>
          <w:color w:val="auto"/>
          <w:sz w:val="24"/>
          <w:szCs w:val="24"/>
          <w:lang w:val="en-US" w:eastAsia="zh-CN" w:bidi="ar-SA"/>
        </w:rPr>
        <w:t>初始</w:t>
      </w:r>
      <w:r>
        <w:rPr>
          <w:rFonts w:hint="eastAsia" w:cs="宋体"/>
          <w:color w:val="auto"/>
          <w:sz w:val="24"/>
          <w:szCs w:val="24"/>
          <w:lang w:val="en-US" w:eastAsia="zh-CN" w:bidi="ar-SA"/>
        </w:rPr>
        <w:t>原辅</w:t>
      </w:r>
      <w:r>
        <w:rPr>
          <w:rFonts w:hint="eastAsia" w:ascii="宋体" w:hAnsi="宋体" w:eastAsia="宋体" w:cs="宋体"/>
          <w:color w:val="auto"/>
          <w:sz w:val="24"/>
          <w:szCs w:val="24"/>
          <w:lang w:val="en-US" w:eastAsia="zh-CN" w:bidi="ar-SA"/>
        </w:rPr>
        <w:t>料</w:t>
      </w:r>
      <w:r>
        <w:rPr>
          <w:rFonts w:hint="eastAsia" w:cs="宋体"/>
          <w:color w:val="auto"/>
          <w:sz w:val="24"/>
          <w:szCs w:val="24"/>
          <w:lang w:val="en-US" w:eastAsia="zh-CN" w:bidi="ar-SA"/>
        </w:rPr>
        <w:t>、</w:t>
      </w:r>
      <w:r>
        <w:rPr>
          <w:rFonts w:hint="eastAsia" w:ascii="宋体" w:hAnsi="宋体" w:eastAsia="宋体" w:cs="宋体"/>
          <w:color w:val="auto"/>
          <w:sz w:val="24"/>
          <w:szCs w:val="24"/>
          <w:lang w:val="en-US" w:eastAsia="zh-CN" w:bidi="ar-SA"/>
        </w:rPr>
        <w:t>制剂中间</w:t>
      </w:r>
      <w:r>
        <w:rPr>
          <w:rFonts w:hint="eastAsia" w:cs="宋体"/>
          <w:color w:val="auto"/>
          <w:sz w:val="24"/>
          <w:szCs w:val="24"/>
          <w:lang w:val="en-US" w:eastAsia="zh-CN" w:bidi="ar-SA"/>
        </w:rPr>
        <w:t>产品及</w:t>
      </w:r>
      <w:r>
        <w:rPr>
          <w:rFonts w:hint="eastAsia" w:ascii="宋体" w:hAnsi="宋体" w:eastAsia="宋体" w:cs="宋体"/>
          <w:color w:val="auto"/>
          <w:sz w:val="24"/>
          <w:szCs w:val="24"/>
          <w:lang w:val="en-US" w:eastAsia="zh-CN" w:bidi="ar-SA"/>
        </w:rPr>
        <w:t>成品的质量。</w:t>
      </w:r>
    </w:p>
    <w:p w14:paraId="41ED6E0B">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8、</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提供的制剂，从采购人验收合格之日起有效期应大于10个月。</w:t>
      </w:r>
    </w:p>
    <w:p w14:paraId="6D6DC7B1">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9、采购人在临床使用中发现产品质量异常，有权委托具有相关资质的第三方药品检验部门进行质量检验，并将检验报告以书面形式通知</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，检验费用由</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承担。若检测证实存在质量问题，</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须承担由此产生的医疗事故、医患纠纷等全部经济赔偿和法律责任，且采购人有权终止合作</w:t>
      </w:r>
    </w:p>
    <w:p w14:paraId="47461745">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10、</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必须保证，其根据采购人要求加工生产的全部产品，不侵犯任何第三方的知识产权（包括但不限于专利权、商标权、著作权）或其他合法权益，且全部产品所有权及知识产权应完整归属于采购人。同时，产品使用及销售不得受任何第三方权利或法律程序的干扰，如发生此类情形由</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承担全部责任。</w:t>
      </w:r>
    </w:p>
    <w:p w14:paraId="47E66D60">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11、</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须承诺其参与及履行本项目的全过程，均符合对其适用的所有法律法规及对其有约束力的其他协议，并应在后续合同中对此作出明确保证。</w:t>
      </w:r>
    </w:p>
    <w:p w14:paraId="2C819D25">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12、</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因生产失误导致产品质量不合格，须在采购人监督下销毁，且</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应立即重新生产，由此产生的全部损失由</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承担。</w:t>
      </w:r>
    </w:p>
    <w:p w14:paraId="37EE12DC">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13、采购人在使用产品期间，若出现内外包装质量问题，</w:t>
      </w:r>
      <w:r>
        <w:rPr>
          <w:rFonts w:hint="eastAsia" w:cs="宋体"/>
          <w:color w:val="auto"/>
          <w:sz w:val="24"/>
          <w:szCs w:val="24"/>
          <w:lang w:val="en-US" w:eastAsia="zh-CN" w:bidi="ar-SA"/>
        </w:rPr>
        <w:t>服务商</w:t>
      </w:r>
      <w:r>
        <w:rPr>
          <w:rFonts w:hint="eastAsia" w:ascii="宋体" w:hAnsi="宋体" w:eastAsia="宋体" w:cs="宋体"/>
          <w:color w:val="auto"/>
          <w:sz w:val="24"/>
          <w:szCs w:val="24"/>
          <w:lang w:val="en-US" w:eastAsia="zh-CN" w:bidi="ar-SA"/>
        </w:rPr>
        <w:t>须无条件召回并更换合格产品。</w:t>
      </w:r>
    </w:p>
    <w:p w14:paraId="3674A7DB">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right="0"/>
        <w:textAlignment w:val="auto"/>
        <w:rPr>
          <w:rFonts w:hint="eastAsia" w:ascii="宋体" w:hAnsi="宋体" w:eastAsia="宋体" w:cs="宋体"/>
          <w:b/>
          <w:bCs/>
          <w:color w:val="auto"/>
          <w:sz w:val="24"/>
          <w:szCs w:val="24"/>
          <w:lang w:val="en-US" w:eastAsia="zh-CN" w:bidi="ar-SA"/>
        </w:rPr>
      </w:pPr>
      <w:r>
        <w:rPr>
          <w:rFonts w:hint="eastAsia" w:cs="宋体"/>
          <w:b/>
          <w:bCs/>
          <w:color w:val="auto"/>
          <w:sz w:val="24"/>
          <w:szCs w:val="24"/>
          <w:lang w:val="en-US" w:eastAsia="zh-CN" w:bidi="ar-SA"/>
        </w:rPr>
        <w:t>四、</w:t>
      </w:r>
      <w:r>
        <w:rPr>
          <w:rFonts w:hint="eastAsia" w:ascii="宋体" w:hAnsi="宋体" w:eastAsia="宋体" w:cs="宋体"/>
          <w:b/>
          <w:bCs/>
          <w:color w:val="auto"/>
          <w:sz w:val="24"/>
          <w:szCs w:val="24"/>
          <w:lang w:val="en-US" w:eastAsia="zh-CN" w:bidi="ar-SA"/>
        </w:rPr>
        <w:t>服务要求</w:t>
      </w:r>
    </w:p>
    <w:p w14:paraId="32A680A4">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cs="宋体"/>
          <w:color w:val="auto"/>
          <w:sz w:val="24"/>
          <w:szCs w:val="24"/>
          <w:lang w:val="en-US" w:eastAsia="zh-CN" w:bidi="ar-SA"/>
        </w:rPr>
      </w:pPr>
      <w:r>
        <w:rPr>
          <w:rFonts w:hint="eastAsia" w:cs="宋体"/>
          <w:color w:val="auto"/>
          <w:sz w:val="24"/>
          <w:szCs w:val="24"/>
          <w:lang w:val="en-US" w:eastAsia="zh-CN" w:bidi="ar-SA"/>
        </w:rPr>
        <w:t>1、服务商应具有相应的生产能力和质量保证体系。</w:t>
      </w:r>
    </w:p>
    <w:p w14:paraId="4AD6D753">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2、服务商的《药品生产许可证》或《医疗机构制剂许可证》配制范围应包括片剂、颗粒剂、合剂、糖浆剂、散剂。</w:t>
      </w:r>
    </w:p>
    <w:p w14:paraId="2D1BFAD3">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3、服务商应具备符合要求的厂房、生产车间（含常温库、阴凉库等仓储条件）、生产设施设备以及相应数量的专业技术人员。服务商应设立独立的质量检验机构，配备相应的检测仪器设备，并建立完善的质量管理体系，能够确保产品质量持续符合法定标准和采购人要求。</w:t>
      </w:r>
    </w:p>
    <w:p w14:paraId="4BB82553">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4、服务商须在取得《中标通知书》后，向采购人提供相关资料，协助采购人向广东省药品监督管理局申请《医疗机构中药制剂委托配制备案凭证》。</w:t>
      </w:r>
    </w:p>
    <w:p w14:paraId="528EC62C">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5、服务商承诺，如中标，在签署合同之日起90个日历日内能对委托配制品种清单中序号排列“1-18”的18个制剂品种进行供货。</w:t>
      </w:r>
    </w:p>
    <w:p w14:paraId="6A76877E">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6、服务商须对每个制剂品种试生产配制三批，由服务商提供原辅料及包装材料，不得出售，并在取得制剂委托配制审批后予以销毁。服务商负责根据委托配制制剂的试生产数据，制定科学、合理的成品物料平衡范围，并经采购人同意后方可执行。</w:t>
      </w:r>
    </w:p>
    <w:p w14:paraId="06BF089B">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7、采购人对于因临床用量变化，生产计划量（包括种类的变化和用量的变化等）可适当调整，服务商不得额外提出附加条件。</w:t>
      </w:r>
    </w:p>
    <w:p w14:paraId="6023BD3F">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8、服务商须在采购人发出生产订单后24小时内反馈响应，并在第一道工序开始前5个工作日通知采购人。</w:t>
      </w:r>
    </w:p>
    <w:p w14:paraId="6DF1BD28">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9、服务商负责按采购人提供的标准、要求和加工计划购进所需的生产物料，并对采购物料的来源合法性、质量负责。</w:t>
      </w:r>
    </w:p>
    <w:p w14:paraId="17B99931">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10、服务商负责按国家有关标准或采购人提供的质量标准对物料进行检验，检验合格后方可投入生产。</w:t>
      </w:r>
    </w:p>
    <w:p w14:paraId="11B689E0">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11、服务商负责每批中间产品和成品的取样，按采购人提供的质量标准检验。加工生产过程中的所有生产、检验和发运记录及样品由服务商负责保存，采购人能随时查阅或检查，确保资料可追溯性。</w:t>
      </w:r>
    </w:p>
    <w:p w14:paraId="321B2051">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12、服务商应按照采购人要求的规格装箱，不能随意改动。</w:t>
      </w:r>
    </w:p>
    <w:p w14:paraId="32A55A53">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13、服务商负责运输产品到采购人指定的成品库，包括装卸车、货物现场的搬运。交货时，数量和包装规格必须与采购人下单时一致(提供装箱清单)，同时还应提供加盖公章的本批次成品的合格检验报告书复印件。</w:t>
      </w:r>
    </w:p>
    <w:p w14:paraId="760713E7">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14、服务商负责产品质量，如因为产品质量原因造成相应责任，由服务商承担。服务商应具备完善的应急预案，至少包括重大隐患事故方案、抽检药品不合格应对方案，有明确的应对方案及措施。</w:t>
      </w:r>
    </w:p>
    <w:p w14:paraId="68246D82">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15、服务商具备科研延伸服务，包括但不限于积极参与采购人委托配制的制剂质量标准提升、研发等科研项目。</w:t>
      </w:r>
    </w:p>
    <w:p w14:paraId="268627DB">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16、针对本项目委托配制品种清单中序号为“19-24”的6个制剂品种，服务商应在收到采购人提供的完整工艺资料后90个日历日内，向采购人提交该6个品种对应的成本核算资料及其他相关佐证材料。上述成本核算资料及佐证材料经双方核对确认后，报相关部门审批确定制剂销售价格，经双方确认后的制剂品种委托加工单价，双方应据此另行签订补充协议，补充协议与本合同具有同等法律效力。</w:t>
      </w:r>
    </w:p>
    <w:p w14:paraId="048163A2">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17、合同终止后，采购人有权收回或要求服务商在采购人的监督下销毁所有相关资料，服务商不得使用本项目履行过程中采购人提供的一切资料信息，不得私自使用本项目产生的制剂。</w:t>
      </w:r>
    </w:p>
    <w:p w14:paraId="109A297F">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right="0"/>
        <w:textAlignment w:val="auto"/>
        <w:rPr>
          <w:rFonts w:hint="eastAsia" w:ascii="宋体" w:hAnsi="宋体" w:eastAsia="宋体" w:cs="宋体"/>
          <w:b/>
          <w:bCs/>
          <w:color w:val="auto"/>
          <w:sz w:val="24"/>
          <w:szCs w:val="24"/>
          <w:lang w:val="en-US" w:eastAsia="zh-CN" w:bidi="ar-SA"/>
        </w:rPr>
      </w:pPr>
      <w:r>
        <w:rPr>
          <w:rFonts w:hint="eastAsia" w:cs="宋体"/>
          <w:b/>
          <w:bCs/>
          <w:color w:val="auto"/>
          <w:sz w:val="24"/>
          <w:szCs w:val="24"/>
          <w:lang w:val="en-US" w:eastAsia="zh-CN" w:bidi="ar-SA"/>
        </w:rPr>
        <w:t>五、</w:t>
      </w:r>
      <w:r>
        <w:rPr>
          <w:rFonts w:hint="eastAsia" w:ascii="宋体" w:hAnsi="宋体" w:eastAsia="宋体" w:cs="宋体"/>
          <w:b/>
          <w:bCs/>
          <w:color w:val="auto"/>
          <w:sz w:val="24"/>
          <w:szCs w:val="24"/>
          <w:lang w:val="en-US" w:eastAsia="zh-CN" w:bidi="ar-SA"/>
        </w:rPr>
        <w:t>生产要求</w:t>
      </w:r>
    </w:p>
    <w:p w14:paraId="31AA16CC">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服务商需严格执行《中华人民共和国药品管理法》、《中华人民共和国药品管理法实施条例》、《医疗机构制剂配制监督管理办法（试行）》、《医疗机构制剂配制质量管理规范（试行）》等相关法律、法规及规章的规定。</w:t>
      </w:r>
    </w:p>
    <w:p w14:paraId="23DDC9E6">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2、服务商必须建立完善的质量管理体系，确保制剂生产过程中的每一个环节都严格符合国家药品监督管理局的相关规定及行业标准，保证产品质量和安全。</w:t>
      </w:r>
    </w:p>
    <w:p w14:paraId="195EC599">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3、服务商应确保生产环境的清洁和卫生，定期进行环境检测，以符合药品生产的环境要求，防止交叉污染。</w:t>
      </w:r>
    </w:p>
    <w:p w14:paraId="25671EDE">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4、服务商须严格按照《医疗机构制剂配制质量管理规范(试行)》或《药品生产质量管理规范》等进行生产，产品须同时符合采购人提供的质量标准及最新版《中国药典》的要求。服务商对产品负有保管义务，如因服务商保管不当造成损失由服务商负责。</w:t>
      </w:r>
    </w:p>
    <w:p w14:paraId="28524A90">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5、服务商须对每批次的原辅料、中间产品以及成品进行抽样、检查；抽取检验检品的方法和抽样量须满足最新版《中国药典》的规定；检验须同时符合采购人提供的药品质量标准和最新版《中国药典》的要求。每批饮片原料需留样，质量须与投标时递交样品质量一致或更优。服务商须向采购人出具检验报告书，同时负责成品留样备查。</w:t>
      </w:r>
    </w:p>
    <w:p w14:paraId="56AF383E">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6、采购人有权根据质量管理需要，对配送药品进行抽样检验。</w:t>
      </w:r>
    </w:p>
    <w:p w14:paraId="0F1DE026">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7、产品生产、使用期间，如发生法定抽检情况的，服务商应保证抽检产品质量符合制剂注册（备案）标准及2025版《中国药典》（如有新版药典发布，则按最新版要求执行）的相关质量要求，如因抽检检验不合格导致采购人受到处罚或遭受任何损失，一切责任及损失均由服务商承担。</w:t>
      </w:r>
    </w:p>
    <w:p w14:paraId="2A413BD4">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8、服务商应保证生产全过程数据记录真实、完整、准确、可追溯，并可随时提供给采购人审查。批生产记录、检验记录原件由服务商留存，复印件由采购人留存。</w:t>
      </w:r>
    </w:p>
    <w:p w14:paraId="1BBBD8E8">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9、服务商应建立追溯系统，逐步实现制剂生产全过程来源可查、去向可追，确保发生质量安全风险的产品可召回、责任可追究。</w:t>
      </w:r>
    </w:p>
    <w:p w14:paraId="3A75B704">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10、服务商应配合采购人对其生产环境、工艺控制、质量管理体系运行状况，以及受托配制制剂所用的原辅料、包装材料的储存条件与管理规范进行定期或不定期的现场检查与评估。对于采购人检查发现的问题，服务商应立即整改，并在规定时限向采购人提交详细的整改报告，确保问题得到及时解决。</w:t>
      </w:r>
    </w:p>
    <w:p w14:paraId="2596EAF0">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right="0"/>
        <w:textAlignment w:val="auto"/>
        <w:rPr>
          <w:rFonts w:hint="eastAsia" w:cs="宋体"/>
          <w:b/>
          <w:bCs/>
          <w:color w:val="auto"/>
          <w:sz w:val="24"/>
          <w:szCs w:val="24"/>
          <w:lang w:val="en-US" w:eastAsia="zh-CN" w:bidi="ar-SA"/>
        </w:rPr>
      </w:pPr>
      <w:r>
        <w:rPr>
          <w:rFonts w:hint="eastAsia" w:cs="宋体"/>
          <w:b/>
          <w:bCs/>
          <w:color w:val="auto"/>
          <w:sz w:val="24"/>
          <w:szCs w:val="24"/>
          <w:lang w:val="en-US" w:eastAsia="zh-CN" w:bidi="ar-SA"/>
        </w:rPr>
        <w:t>六、验收要求</w:t>
      </w:r>
    </w:p>
    <w:p w14:paraId="38606175">
      <w:pPr>
        <w:widowControl w:val="0"/>
        <w:autoSpaceDE w:val="0"/>
        <w:autoSpaceDN w:val="0"/>
        <w:spacing w:before="150" w:after="150" w:line="400" w:lineRule="exact"/>
        <w:ind w:right="0" w:firstLine="480" w:firstLineChars="200"/>
        <w:jc w:val="left"/>
        <w:rPr>
          <w:rFonts w:hint="eastAsia" w:ascii="宋体" w:hAnsi="宋体" w:eastAsia="宋体" w:cs="宋体"/>
          <w:color w:val="auto"/>
          <w:sz w:val="24"/>
          <w:szCs w:val="24"/>
          <w:lang w:val="en-US" w:eastAsia="zh-CN" w:bidi="ar-SA"/>
        </w:rPr>
      </w:pPr>
      <w:r>
        <w:rPr>
          <w:rFonts w:hint="eastAsia" w:cs="宋体"/>
          <w:color w:val="auto"/>
          <w:sz w:val="24"/>
          <w:szCs w:val="24"/>
          <w:lang w:val="en-US" w:eastAsia="zh-CN" w:bidi="ar-SA"/>
        </w:rPr>
        <w:t>1、</w:t>
      </w:r>
      <w:r>
        <w:rPr>
          <w:rFonts w:hint="eastAsia" w:ascii="宋体" w:hAnsi="宋体" w:eastAsia="宋体" w:cs="宋体"/>
          <w:color w:val="auto"/>
          <w:sz w:val="24"/>
          <w:szCs w:val="24"/>
          <w:lang w:val="en-US" w:eastAsia="zh-CN" w:bidi="ar-SA"/>
        </w:rPr>
        <w:t>验收时间：每批次产品送货时，服务商须同时提供药检报告等验收资料以及送货清单交采购人使用部门验收。</w:t>
      </w:r>
    </w:p>
    <w:p w14:paraId="4C5FFEDF">
      <w:pPr>
        <w:widowControl w:val="0"/>
        <w:autoSpaceDE w:val="0"/>
        <w:autoSpaceDN w:val="0"/>
        <w:spacing w:line="400" w:lineRule="exact"/>
        <w:ind w:firstLine="480" w:firstLineChars="200"/>
        <w:jc w:val="left"/>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2、验收程序：</w:t>
      </w:r>
    </w:p>
    <w:p w14:paraId="61AE9B58">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采购人应在收货后及时进行验收，验收项目包括但不限于：品名、规格、外观质量、货物包装是否完好；服务商应保证送货文件的真实、完整。服务商应派人协助将验收合格的受托生产制剂上架等工作。制剂验收合格只表示采购人认可上述验收内容形式上符合采购人要求，并不代表采购人认可制剂内在质量验收合格，采购人有权在制剂有效期内就内在质量问题向服务商主张权利。</w:t>
      </w:r>
    </w:p>
    <w:p w14:paraId="3A2FCB02">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采购人在接收制剂时，应进行严格的验收确认，对不符合订单要求或质量要求的，采购人有权拒绝接收，并要求服务商退、换、补，服务商需48小时内进行更换、补充、并不得影响采购人的用药需求。否则，采购人有权要求服务商对其所造成的损失进行赔偿。</w:t>
      </w:r>
    </w:p>
    <w:p w14:paraId="20FA1A3D">
      <w:pPr>
        <w:widowControl w:val="0"/>
        <w:autoSpaceDE w:val="0"/>
        <w:autoSpaceDN w:val="0"/>
        <w:spacing w:before="150" w:after="150" w:line="400" w:lineRule="exact"/>
        <w:ind w:right="0" w:firstLine="480" w:firstLineChars="200"/>
        <w:jc w:val="left"/>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如果采购人在临床使用中发现制剂不符合质量要求（含出现严重的不良反应时），需要进行制剂质量检验，则由采购人委托具有相关资质的第三方药品检验部门进行质量检验，并及时把质量检验报告以书面形式通知服务商，检验费用由服务商承担。如果检验证明制剂存在质量问题，服务商需立即进行更换、补充，并不得影响采购人的临床使用。否则，采购人有权终止合同并要求服务商对其所造成的损失进行赔偿。</w:t>
      </w:r>
    </w:p>
    <w:p w14:paraId="7C5A603A">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bidi="ar-SA"/>
        </w:rPr>
        <w:t>3、制剂出现质量问题（包装、标签、等级、内在质量问题），服务商需收回并更换合格制剂；由于药检部门抽检出现制剂不合格的，服务商需负经济和法律责任；如因制剂质量问题引起药政管理方面的问题或引起医疗纠纷，服务商均需负连带责任。</w:t>
      </w:r>
    </w:p>
    <w:p w14:paraId="6F82BF8C">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right="0"/>
        <w:textAlignment w:val="auto"/>
        <w:rPr>
          <w:rFonts w:hint="eastAsia" w:ascii="宋体" w:hAnsi="宋体" w:eastAsia="宋体" w:cs="宋体"/>
          <w:b/>
          <w:bCs/>
          <w:color w:val="auto"/>
          <w:sz w:val="24"/>
          <w:szCs w:val="24"/>
          <w:lang w:eastAsia="zh-CN"/>
        </w:rPr>
      </w:pPr>
      <w:r>
        <w:rPr>
          <w:rFonts w:hint="eastAsia" w:cs="宋体"/>
          <w:b/>
          <w:bCs/>
          <w:color w:val="auto"/>
          <w:sz w:val="24"/>
          <w:szCs w:val="24"/>
          <w:lang w:val="en-US" w:eastAsia="zh-CN"/>
        </w:rPr>
        <w:t>七、</w:t>
      </w:r>
      <w:r>
        <w:rPr>
          <w:rFonts w:hint="eastAsia" w:ascii="宋体" w:hAnsi="宋体" w:eastAsia="宋体" w:cs="宋体"/>
          <w:b/>
          <w:bCs/>
          <w:color w:val="auto"/>
          <w:sz w:val="24"/>
          <w:szCs w:val="24"/>
          <w:lang w:eastAsia="zh-CN"/>
        </w:rPr>
        <w:t>配送要求</w:t>
      </w:r>
    </w:p>
    <w:p w14:paraId="654671C4">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采购人根据需求向服务商下达供货订单，服务商必须满足采购人的采购需求，不论供货规模多少，均应保证按时按量配送，并对所供应的货物质量负责，发生质量问题（除患者自身保管不妥外）一切由服务商承担责任。服务商不得以交货地点远或送货量少而拒绝按时送达，因上述理由经查属实二次以上，采购人有权暂停服务商供货资格。每批次制剂成品均需提供送货单、发票以及制剂检验报告。</w:t>
      </w:r>
    </w:p>
    <w:p w14:paraId="68D46C72">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2、中标必须能满足采购人每周多次的配送计划，且保证自采购人发出配送计划后48小时内配送到指定地点，对于特需和急需的品种必须保证自采购人发出配送计划后24小时内配送到指定地点。</w:t>
      </w:r>
    </w:p>
    <w:p w14:paraId="2ABDEC88">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3、按采购人规定的送货时间送货。如确实无法如期送货，必须提前15日通知采购人并说明原因，且征得采购人同意，否则如无故超过采购人规定时间未送货的，采购人有权解除合同，一切损失由服务商承担。</w:t>
      </w:r>
    </w:p>
    <w:p w14:paraId="0C8D7843">
      <w:pPr>
        <w:keepNext w:val="0"/>
        <w:keepLines w:val="0"/>
        <w:pageBreakBefore w:val="0"/>
        <w:widowControl w:val="0"/>
        <w:kinsoku/>
        <w:wordWrap/>
        <w:overflowPunct/>
        <w:topLinePunct w:val="0"/>
        <w:autoSpaceDE w:val="0"/>
        <w:autoSpaceDN w:val="0"/>
        <w:bidi w:val="0"/>
        <w:adjustRightInd/>
        <w:snapToGrid/>
        <w:spacing w:before="0" w:beforeLines="50" w:after="0" w:afterLines="50" w:line="400" w:lineRule="exact"/>
        <w:ind w:right="0"/>
        <w:textAlignment w:val="auto"/>
        <w:rPr>
          <w:rFonts w:hint="eastAsia" w:cs="宋体"/>
          <w:b/>
          <w:bCs/>
          <w:color w:val="auto"/>
          <w:sz w:val="24"/>
          <w:szCs w:val="24"/>
          <w:lang w:val="en-US" w:eastAsia="zh-CN"/>
        </w:rPr>
      </w:pPr>
      <w:r>
        <w:rPr>
          <w:rFonts w:hint="eastAsia" w:cs="宋体"/>
          <w:b/>
          <w:bCs/>
          <w:color w:val="auto"/>
          <w:sz w:val="24"/>
          <w:szCs w:val="24"/>
          <w:lang w:val="en-US" w:eastAsia="zh-CN"/>
        </w:rPr>
        <w:t>八、人员要求</w:t>
      </w:r>
    </w:p>
    <w:p w14:paraId="48653DF7">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1、服务商为本项目所配备的项目负责人具备中级或以上专业技术资格证书（中药学专业）；项目团队关键岗位人员具备初级或以上专业技术资格证书（中药学专业）。</w:t>
      </w:r>
    </w:p>
    <w:p w14:paraId="5E69FC88">
      <w:pPr>
        <w:keepNext w:val="0"/>
        <w:keepLines w:val="0"/>
        <w:pageBreakBefore w:val="0"/>
        <w:widowControl w:val="0"/>
        <w:kinsoku/>
        <w:wordWrap/>
        <w:overflowPunct/>
        <w:topLinePunct w:val="0"/>
        <w:autoSpaceDE w:val="0"/>
        <w:autoSpaceDN w:val="0"/>
        <w:bidi w:val="0"/>
        <w:adjustRightInd/>
        <w:snapToGrid/>
        <w:spacing w:before="0" w:beforeLines="50" w:after="0" w:afterLines="50"/>
        <w:ind w:leftChars="0" w:right="0" w:rightChars="0" w:firstLine="480" w:firstLineChars="200"/>
        <w:textAlignment w:val="auto"/>
        <w:rPr>
          <w:rFonts w:hint="eastAsia" w:ascii="宋体" w:hAnsi="宋体" w:eastAsia="宋体" w:cs="宋体"/>
          <w:color w:val="auto"/>
          <w:sz w:val="24"/>
          <w:szCs w:val="24"/>
          <w:lang w:val="en-US" w:eastAsia="zh-CN" w:bidi="ar-SA"/>
        </w:rPr>
      </w:pPr>
      <w:r>
        <w:rPr>
          <w:rFonts w:hint="eastAsia" w:ascii="宋体" w:hAnsi="宋体" w:eastAsia="宋体" w:cs="宋体"/>
          <w:color w:val="auto"/>
          <w:sz w:val="24"/>
          <w:szCs w:val="24"/>
          <w:lang w:val="en-US" w:eastAsia="zh-CN" w:bidi="ar-SA"/>
        </w:rPr>
        <w:t>2、服务商应确保所有参与生产的人员接受专业培训，并持有相应的资质证书，提升员工的专业素养和操作能力。</w:t>
      </w:r>
    </w:p>
    <w:p w14:paraId="14C93E3D">
      <w:pPr>
        <w:keepNext w:val="0"/>
        <w:keepLines w:val="0"/>
        <w:pageBreakBefore w:val="0"/>
        <w:widowControl w:val="0"/>
        <w:kinsoku/>
        <w:wordWrap/>
        <w:overflowPunct/>
        <w:topLinePunct w:val="0"/>
        <w:autoSpaceDE w:val="0"/>
        <w:autoSpaceDN w:val="0"/>
        <w:bidi w:val="0"/>
        <w:adjustRightInd/>
        <w:snapToGrid/>
        <w:spacing w:beforeLines="50" w:afterLines="50" w:line="400" w:lineRule="exact"/>
        <w:ind w:firstLine="0" w:firstLineChars="0"/>
        <w:textAlignment w:val="auto"/>
        <w:rPr>
          <w:rFonts w:hint="eastAsia" w:ascii="宋体" w:hAnsi="宋体" w:eastAsia="宋体" w:cs="宋体"/>
          <w:b w:val="0"/>
          <w:bCs w:val="0"/>
          <w:strike w:val="0"/>
          <w:dstrike w:val="0"/>
          <w:color w:val="auto"/>
          <w:sz w:val="24"/>
          <w:szCs w:val="24"/>
        </w:rPr>
      </w:pPr>
      <w:r>
        <w:rPr>
          <w:rFonts w:hint="eastAsia" w:cs="宋体"/>
          <w:b/>
          <w:bCs/>
          <w:color w:val="auto"/>
          <w:sz w:val="24"/>
          <w:szCs w:val="24"/>
          <w:lang w:val="en-US" w:eastAsia="zh-CN"/>
        </w:rPr>
        <w:t>五</w:t>
      </w:r>
      <w:r>
        <w:rPr>
          <w:rFonts w:hint="eastAsia" w:ascii="宋体" w:hAnsi="宋体" w:eastAsia="宋体" w:cs="宋体"/>
          <w:b/>
          <w:bCs/>
          <w:color w:val="auto"/>
          <w:sz w:val="24"/>
          <w:szCs w:val="24"/>
        </w:rPr>
        <w:t>、付款方式</w:t>
      </w:r>
    </w:p>
    <w:p w14:paraId="4E4BE200">
      <w:pPr>
        <w:widowControl w:val="0"/>
        <w:autoSpaceDE w:val="0"/>
        <w:autoSpaceDN w:val="0"/>
        <w:spacing w:line="400" w:lineRule="exact"/>
        <w:ind w:firstLine="480" w:firstLineChars="200"/>
        <w:rPr>
          <w:rFonts w:hint="eastAsia" w:ascii="宋体" w:hAnsi="宋体" w:eastAsia="宋体" w:cs="宋体"/>
          <w:color w:val="auto"/>
          <w:sz w:val="24"/>
          <w:szCs w:val="24"/>
          <w:lang w:eastAsia="en-US" w:bidi="ar-SA"/>
        </w:rPr>
      </w:pPr>
      <w:r>
        <w:rPr>
          <w:rFonts w:hint="eastAsia" w:ascii="宋体" w:hAnsi="宋体" w:eastAsia="宋体" w:cs="宋体"/>
          <w:strike w:val="0"/>
          <w:dstrike w:val="0"/>
          <w:color w:val="auto"/>
          <w:sz w:val="24"/>
          <w:szCs w:val="24"/>
          <w:lang w:eastAsia="en-US" w:bidi="ar-SA"/>
        </w:rPr>
        <w:t>本项目按月结算。</w:t>
      </w:r>
      <w:r>
        <w:rPr>
          <w:rFonts w:hint="eastAsia" w:ascii="宋体" w:hAnsi="宋体" w:eastAsia="宋体" w:cs="宋体"/>
          <w:strike w:val="0"/>
          <w:dstrike w:val="0"/>
          <w:color w:val="auto"/>
          <w:sz w:val="24"/>
          <w:szCs w:val="24"/>
          <w:lang w:val="en-US" w:eastAsia="en-US" w:bidi="ar-SA"/>
        </w:rPr>
        <w:t>服务商</w:t>
      </w:r>
      <w:r>
        <w:rPr>
          <w:rFonts w:hint="eastAsia" w:ascii="宋体" w:hAnsi="宋体" w:eastAsia="宋体" w:cs="宋体"/>
          <w:color w:val="auto"/>
          <w:sz w:val="24"/>
          <w:szCs w:val="24"/>
          <w:lang w:eastAsia="en-US" w:bidi="ar-SA"/>
        </w:rPr>
        <w:t>于每月10日前向采购人提供上一月份经双方签字确认的验收合格的产品签收单及对应金额、合规的增值税普通发票，采购人在收到中标人合法有效的发票后按照采购人财务结算流程办理付款</w:t>
      </w:r>
    </w:p>
    <w:p w14:paraId="43DA4920">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line="400" w:lineRule="exact"/>
        <w:ind w:right="0" w:rightChars="0"/>
        <w:textAlignment w:val="auto"/>
        <w:rPr>
          <w:rFonts w:hint="eastAsia" w:ascii="宋体" w:hAnsi="宋体" w:eastAsia="宋体" w:cs="宋体"/>
          <w:b/>
          <w:bCs/>
          <w:color w:val="auto"/>
          <w:sz w:val="24"/>
          <w:szCs w:val="24"/>
        </w:rPr>
      </w:pPr>
      <w:r>
        <w:rPr>
          <w:rFonts w:hint="eastAsia" w:cs="宋体"/>
          <w:b/>
          <w:bCs/>
          <w:color w:val="auto"/>
          <w:sz w:val="24"/>
          <w:szCs w:val="24"/>
          <w:lang w:val="en-US" w:eastAsia="zh-CN"/>
        </w:rPr>
        <w:t>六、</w:t>
      </w:r>
      <w:r>
        <w:rPr>
          <w:rFonts w:hint="eastAsia" w:ascii="宋体" w:hAnsi="宋体" w:eastAsia="宋体" w:cs="宋体"/>
          <w:b/>
          <w:bCs/>
          <w:color w:val="auto"/>
          <w:sz w:val="24"/>
          <w:szCs w:val="24"/>
        </w:rPr>
        <w:t>保密要求</w:t>
      </w:r>
    </w:p>
    <w:p w14:paraId="3878A414">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cs="宋体"/>
          <w:color w:val="auto"/>
          <w:sz w:val="24"/>
          <w:szCs w:val="24"/>
          <w:lang w:eastAsia="zh-CN"/>
        </w:rPr>
        <w:t>服务商</w:t>
      </w:r>
      <w:r>
        <w:rPr>
          <w:rFonts w:hint="eastAsia" w:ascii="宋体" w:hAnsi="宋体" w:eastAsia="宋体" w:cs="宋体"/>
          <w:color w:val="auto"/>
          <w:sz w:val="24"/>
          <w:szCs w:val="24"/>
        </w:rPr>
        <w:t>对采购人所委托制剂的处方和工艺等技术资料必须严格保密，不得外泄，且不得自行生产销售采购人委托生产的产品，否则所造成的不良后果和一切损失，由</w:t>
      </w:r>
      <w:r>
        <w:rPr>
          <w:rFonts w:hint="eastAsia" w:cs="宋体"/>
          <w:color w:val="auto"/>
          <w:sz w:val="24"/>
          <w:szCs w:val="24"/>
          <w:lang w:eastAsia="zh-CN"/>
        </w:rPr>
        <w:t>服务商</w:t>
      </w:r>
      <w:r>
        <w:rPr>
          <w:rFonts w:hint="eastAsia" w:ascii="宋体" w:hAnsi="宋体" w:eastAsia="宋体" w:cs="宋体"/>
          <w:color w:val="auto"/>
          <w:sz w:val="24"/>
          <w:szCs w:val="24"/>
        </w:rPr>
        <w:t>承担全部法律和赔偿责任。</w:t>
      </w:r>
    </w:p>
    <w:p w14:paraId="3EC0EFEB">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服务商</w:t>
      </w:r>
      <w:r>
        <w:rPr>
          <w:rFonts w:hint="eastAsia" w:ascii="宋体" w:hAnsi="宋体" w:eastAsia="宋体" w:cs="宋体"/>
          <w:color w:val="auto"/>
          <w:sz w:val="24"/>
          <w:szCs w:val="24"/>
        </w:rPr>
        <w:t>及其参与本项目的全体人员获取有关采购人的资料、信息、数据等须尽保密义务，未经过采购人允许不得公开或者转予第三方。如因</w:t>
      </w:r>
      <w:r>
        <w:rPr>
          <w:rFonts w:hint="eastAsia" w:ascii="宋体" w:hAnsi="宋体" w:eastAsia="宋体" w:cs="宋体"/>
          <w:color w:val="auto"/>
          <w:sz w:val="24"/>
          <w:szCs w:val="24"/>
          <w:lang w:eastAsia="zh-CN"/>
        </w:rPr>
        <w:t>服务商</w:t>
      </w:r>
      <w:r>
        <w:rPr>
          <w:rFonts w:hint="eastAsia" w:ascii="宋体" w:hAnsi="宋体" w:eastAsia="宋体" w:cs="宋体"/>
          <w:color w:val="auto"/>
          <w:sz w:val="24"/>
          <w:szCs w:val="24"/>
        </w:rPr>
        <w:t>及其参与本项目的全体人员导致泄密事件发生，采购人有权追究</w:t>
      </w:r>
      <w:r>
        <w:rPr>
          <w:rFonts w:hint="eastAsia" w:ascii="宋体" w:hAnsi="宋体" w:eastAsia="宋体" w:cs="宋体"/>
          <w:color w:val="auto"/>
          <w:sz w:val="24"/>
          <w:szCs w:val="24"/>
          <w:lang w:eastAsia="zh-CN"/>
        </w:rPr>
        <w:t>服务商</w:t>
      </w:r>
      <w:r>
        <w:rPr>
          <w:rFonts w:hint="eastAsia" w:ascii="宋体" w:hAnsi="宋体" w:eastAsia="宋体" w:cs="宋体"/>
          <w:color w:val="auto"/>
          <w:sz w:val="24"/>
          <w:szCs w:val="24"/>
        </w:rPr>
        <w:t>全部经济和法律责任,</w:t>
      </w:r>
      <w:r>
        <w:rPr>
          <w:rFonts w:hint="eastAsia" w:ascii="宋体" w:hAnsi="宋体" w:eastAsia="宋体" w:cs="宋体"/>
          <w:color w:val="auto"/>
          <w:sz w:val="24"/>
          <w:szCs w:val="24"/>
          <w:lang w:eastAsia="zh-CN"/>
        </w:rPr>
        <w:t>服务商</w:t>
      </w:r>
      <w:r>
        <w:rPr>
          <w:rFonts w:hint="eastAsia" w:ascii="宋体" w:hAnsi="宋体" w:eastAsia="宋体" w:cs="宋体"/>
          <w:color w:val="auto"/>
          <w:sz w:val="24"/>
          <w:szCs w:val="24"/>
        </w:rPr>
        <w:t>应当赔偿因泄露相关信息资料导致采购人造成的损失(包括但不限于合理的调查、取证、存证、保全、保全担保、法律程序、律师费及其他由此导致的费用、开支、损失或损害)。在本合同履行完毕之后，</w:t>
      </w:r>
      <w:r>
        <w:rPr>
          <w:rFonts w:hint="eastAsia" w:ascii="宋体" w:hAnsi="宋体" w:eastAsia="宋体" w:cs="宋体"/>
          <w:color w:val="auto"/>
          <w:sz w:val="24"/>
          <w:szCs w:val="24"/>
          <w:lang w:eastAsia="zh-CN"/>
        </w:rPr>
        <w:t>服务商</w:t>
      </w:r>
      <w:r>
        <w:rPr>
          <w:rFonts w:hint="eastAsia" w:ascii="宋体" w:hAnsi="宋体" w:eastAsia="宋体" w:cs="宋体"/>
          <w:color w:val="auto"/>
          <w:sz w:val="24"/>
          <w:szCs w:val="24"/>
        </w:rPr>
        <w:t>在本条款项下的义务并不随之终止，</w:t>
      </w:r>
      <w:r>
        <w:rPr>
          <w:rFonts w:hint="eastAsia" w:ascii="宋体" w:hAnsi="宋体" w:eastAsia="宋体" w:cs="宋体"/>
          <w:color w:val="auto"/>
          <w:sz w:val="24"/>
          <w:szCs w:val="24"/>
          <w:lang w:eastAsia="zh-CN"/>
        </w:rPr>
        <w:t>服务商</w:t>
      </w:r>
      <w:r>
        <w:rPr>
          <w:rFonts w:hint="eastAsia" w:ascii="宋体" w:hAnsi="宋体" w:eastAsia="宋体" w:cs="宋体"/>
          <w:color w:val="auto"/>
          <w:sz w:val="24"/>
          <w:szCs w:val="24"/>
        </w:rPr>
        <w:t>仍需履行其所承诺的保密义务,直到采购人同意其解除此项义务，或事实上不会因违反本保密条款而给采购人造成任何形式的损害时为止。</w:t>
      </w:r>
    </w:p>
    <w:p w14:paraId="675552D3">
      <w:pPr>
        <w:keepNext w:val="0"/>
        <w:keepLines w:val="0"/>
        <w:pageBreakBefore w:val="0"/>
        <w:widowControl w:val="0"/>
        <w:numPr>
          <w:ilvl w:val="0"/>
          <w:numId w:val="0"/>
        </w:numPr>
        <w:kinsoku/>
        <w:wordWrap/>
        <w:overflowPunct/>
        <w:topLinePunct w:val="0"/>
        <w:autoSpaceDE w:val="0"/>
        <w:autoSpaceDN w:val="0"/>
        <w:bidi w:val="0"/>
        <w:adjustRightInd/>
        <w:snapToGrid/>
        <w:spacing w:before="0" w:beforeLines="50" w:after="0" w:afterLines="50" w:line="400" w:lineRule="exact"/>
        <w:ind w:right="0" w:rightChars="0"/>
        <w:textAlignment w:val="auto"/>
        <w:rPr>
          <w:rFonts w:hint="eastAsia" w:cs="宋体"/>
          <w:b/>
          <w:bCs/>
          <w:color w:val="auto"/>
          <w:sz w:val="24"/>
          <w:szCs w:val="24"/>
          <w:lang w:val="en-US" w:eastAsia="zh-CN"/>
        </w:rPr>
      </w:pPr>
      <w:r>
        <w:rPr>
          <w:rFonts w:hint="eastAsia" w:cs="宋体"/>
          <w:b/>
          <w:bCs/>
          <w:color w:val="auto"/>
          <w:sz w:val="24"/>
          <w:szCs w:val="24"/>
          <w:lang w:val="en-US" w:eastAsia="zh-CN"/>
        </w:rPr>
        <w:t>七、违约责任与赔偿损失</w:t>
      </w:r>
    </w:p>
    <w:p w14:paraId="752FCEAD">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en-US"/>
        </w:rPr>
        <w:t>1</w:t>
      </w:r>
      <w:r>
        <w:rPr>
          <w:rFonts w:hint="eastAsia" w:ascii="宋体" w:hAnsi="宋体" w:eastAsia="宋体" w:cs="宋体"/>
          <w:color w:val="auto"/>
          <w:sz w:val="24"/>
          <w:szCs w:val="24"/>
          <w:lang w:val="en-US" w:eastAsia="en-US"/>
        </w:rPr>
        <w:t>、除法律、法规另有规定或合同另有约定外，合同期内，原则上不能提前终止委托生产，若一方要提前终止</w:t>
      </w:r>
      <w:r>
        <w:rPr>
          <w:rFonts w:hint="eastAsia" w:ascii="宋体" w:hAnsi="宋体" w:eastAsia="宋体" w:cs="宋体"/>
          <w:color w:val="auto"/>
          <w:sz w:val="24"/>
          <w:szCs w:val="24"/>
        </w:rPr>
        <w:t>，须提前三个月以书面形式向另一方提出，经双方协商达成一致方可终止。否则，违约方应对造成另一方损失进行双倍赔偿。</w:t>
      </w:r>
    </w:p>
    <w:p w14:paraId="4C774E69">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cs="宋体"/>
          <w:color w:val="auto"/>
          <w:sz w:val="24"/>
          <w:szCs w:val="24"/>
          <w:lang w:val="en-US" w:eastAsia="zh-CN"/>
        </w:rPr>
        <w:t>2</w:t>
      </w:r>
      <w:r>
        <w:rPr>
          <w:rFonts w:hint="eastAsia" w:ascii="宋体" w:hAnsi="宋体" w:eastAsia="宋体" w:cs="宋体"/>
          <w:color w:val="auto"/>
          <w:sz w:val="24"/>
          <w:szCs w:val="24"/>
        </w:rPr>
        <w:t>、</w:t>
      </w:r>
      <w:r>
        <w:rPr>
          <w:rFonts w:hint="eastAsia" w:cs="宋体"/>
          <w:color w:val="auto"/>
          <w:sz w:val="24"/>
          <w:szCs w:val="24"/>
          <w:lang w:eastAsia="zh-CN"/>
        </w:rPr>
        <w:t>服务商</w:t>
      </w:r>
      <w:r>
        <w:rPr>
          <w:rFonts w:hint="eastAsia" w:ascii="宋体" w:hAnsi="宋体" w:eastAsia="宋体" w:cs="宋体"/>
          <w:color w:val="auto"/>
          <w:sz w:val="24"/>
          <w:szCs w:val="24"/>
        </w:rPr>
        <w:t>对整个生产运输过程负全部责任，如有产品质量不符合质量标准要求而导致的损失，</w:t>
      </w:r>
      <w:r>
        <w:rPr>
          <w:rFonts w:hint="eastAsia" w:cs="宋体"/>
          <w:color w:val="auto"/>
          <w:sz w:val="24"/>
          <w:szCs w:val="24"/>
          <w:lang w:eastAsia="zh-CN"/>
        </w:rPr>
        <w:t>服务商</w:t>
      </w:r>
      <w:r>
        <w:rPr>
          <w:rFonts w:hint="eastAsia" w:ascii="宋体" w:hAnsi="宋体" w:eastAsia="宋体" w:cs="宋体"/>
          <w:color w:val="auto"/>
          <w:sz w:val="24"/>
          <w:szCs w:val="24"/>
        </w:rPr>
        <w:t xml:space="preserve">全额赔偿。 </w:t>
      </w:r>
    </w:p>
    <w:p w14:paraId="424CE598">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cs="宋体"/>
          <w:color w:val="auto"/>
          <w:sz w:val="24"/>
          <w:szCs w:val="24"/>
          <w:lang w:val="en-US" w:eastAsia="zh-CN"/>
        </w:rPr>
        <w:t>3</w:t>
      </w:r>
      <w:r>
        <w:rPr>
          <w:rFonts w:hint="eastAsia" w:ascii="宋体" w:hAnsi="宋体" w:eastAsia="宋体" w:cs="宋体"/>
          <w:color w:val="auto"/>
          <w:sz w:val="24"/>
          <w:szCs w:val="24"/>
        </w:rPr>
        <w:t>、在委托生产期间，药监部门对</w:t>
      </w:r>
      <w:r>
        <w:rPr>
          <w:rFonts w:hint="eastAsia" w:cs="宋体"/>
          <w:color w:val="auto"/>
          <w:sz w:val="24"/>
          <w:szCs w:val="24"/>
          <w:lang w:eastAsia="zh-CN"/>
        </w:rPr>
        <w:t>服务商</w:t>
      </w:r>
      <w:r>
        <w:rPr>
          <w:rFonts w:hint="eastAsia" w:ascii="宋体" w:hAnsi="宋体" w:eastAsia="宋体" w:cs="宋体"/>
          <w:color w:val="auto"/>
          <w:sz w:val="24"/>
          <w:szCs w:val="24"/>
        </w:rPr>
        <w:t>进行现场检查，如发现有违规生产等行为，一切与采购人无关。</w:t>
      </w:r>
    </w:p>
    <w:p w14:paraId="5EEAEFD1">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cs="宋体"/>
          <w:color w:val="auto"/>
          <w:sz w:val="24"/>
          <w:szCs w:val="24"/>
          <w:lang w:val="en-US" w:eastAsia="zh-CN"/>
        </w:rPr>
        <w:t>4</w:t>
      </w:r>
      <w:r>
        <w:rPr>
          <w:rFonts w:hint="eastAsia" w:ascii="宋体" w:hAnsi="宋体" w:eastAsia="宋体" w:cs="宋体"/>
          <w:color w:val="auto"/>
          <w:sz w:val="24"/>
          <w:szCs w:val="24"/>
        </w:rPr>
        <w:t>、药监部门对所委托生产的品种抽检，如检验不合格，</w:t>
      </w:r>
      <w:r>
        <w:rPr>
          <w:rFonts w:hint="eastAsia" w:cs="宋体"/>
          <w:color w:val="auto"/>
          <w:sz w:val="24"/>
          <w:szCs w:val="24"/>
          <w:lang w:eastAsia="zh-CN"/>
        </w:rPr>
        <w:t>服务商</w:t>
      </w:r>
      <w:r>
        <w:rPr>
          <w:rFonts w:hint="eastAsia" w:ascii="宋体" w:hAnsi="宋体" w:eastAsia="宋体" w:cs="宋体"/>
          <w:color w:val="auto"/>
          <w:sz w:val="24"/>
          <w:szCs w:val="24"/>
        </w:rPr>
        <w:t>须承担所有责任，并赔偿采购人的损失。</w:t>
      </w:r>
    </w:p>
    <w:p w14:paraId="4BF15D53">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cs="宋体"/>
          <w:color w:val="auto"/>
          <w:sz w:val="24"/>
          <w:szCs w:val="24"/>
          <w:lang w:val="en-US" w:eastAsia="zh-CN"/>
        </w:rPr>
        <w:t>5</w:t>
      </w:r>
      <w:r>
        <w:rPr>
          <w:rFonts w:hint="eastAsia" w:ascii="宋体" w:hAnsi="宋体" w:eastAsia="宋体" w:cs="宋体"/>
          <w:color w:val="auto"/>
          <w:sz w:val="24"/>
          <w:szCs w:val="24"/>
        </w:rPr>
        <w:t>、</w:t>
      </w:r>
      <w:r>
        <w:rPr>
          <w:rFonts w:hint="eastAsia" w:cs="宋体"/>
          <w:color w:val="auto"/>
          <w:sz w:val="24"/>
          <w:szCs w:val="24"/>
          <w:lang w:eastAsia="zh-CN"/>
        </w:rPr>
        <w:t>服务商</w:t>
      </w:r>
      <w:r>
        <w:rPr>
          <w:rFonts w:hint="eastAsia" w:ascii="宋体" w:hAnsi="宋体" w:eastAsia="宋体" w:cs="宋体"/>
          <w:color w:val="auto"/>
          <w:sz w:val="24"/>
          <w:szCs w:val="24"/>
        </w:rPr>
        <w:t>使用的原料、辅料、包装材料或者提取加工的产品如未达到采购人规定的质量标准，采购人有权要求</w:t>
      </w:r>
      <w:r>
        <w:rPr>
          <w:rFonts w:hint="eastAsia" w:cs="宋体"/>
          <w:color w:val="auto"/>
          <w:sz w:val="24"/>
          <w:szCs w:val="24"/>
          <w:lang w:eastAsia="zh-CN"/>
        </w:rPr>
        <w:t>服务商</w:t>
      </w:r>
      <w:r>
        <w:rPr>
          <w:rFonts w:hint="eastAsia" w:ascii="宋体" w:hAnsi="宋体" w:eastAsia="宋体" w:cs="宋体"/>
          <w:color w:val="auto"/>
          <w:sz w:val="24"/>
          <w:szCs w:val="24"/>
        </w:rPr>
        <w:t>停止使用该产品，并立即更换成符合要求的产品，所造成的损失均由</w:t>
      </w:r>
      <w:r>
        <w:rPr>
          <w:rFonts w:hint="eastAsia" w:cs="宋体"/>
          <w:color w:val="auto"/>
          <w:sz w:val="24"/>
          <w:szCs w:val="24"/>
          <w:lang w:eastAsia="zh-CN"/>
        </w:rPr>
        <w:t>服务商</w:t>
      </w:r>
      <w:r>
        <w:rPr>
          <w:rFonts w:hint="eastAsia" w:ascii="宋体" w:hAnsi="宋体" w:eastAsia="宋体" w:cs="宋体"/>
          <w:color w:val="auto"/>
          <w:sz w:val="24"/>
          <w:szCs w:val="24"/>
        </w:rPr>
        <w:t>负责。</w:t>
      </w:r>
    </w:p>
    <w:p w14:paraId="41086FF7">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cs="宋体"/>
          <w:color w:val="auto"/>
          <w:sz w:val="24"/>
          <w:szCs w:val="24"/>
          <w:lang w:val="en-US" w:eastAsia="zh-CN"/>
        </w:rPr>
        <w:t>6</w:t>
      </w:r>
      <w:r>
        <w:rPr>
          <w:rFonts w:hint="eastAsia" w:ascii="宋体" w:hAnsi="宋体" w:eastAsia="宋体" w:cs="宋体"/>
          <w:color w:val="auto"/>
          <w:sz w:val="24"/>
          <w:szCs w:val="24"/>
        </w:rPr>
        <w:t>、</w:t>
      </w:r>
      <w:r>
        <w:rPr>
          <w:rFonts w:hint="eastAsia" w:cs="宋体"/>
          <w:color w:val="auto"/>
          <w:sz w:val="24"/>
          <w:szCs w:val="24"/>
          <w:lang w:eastAsia="zh-CN"/>
        </w:rPr>
        <w:t>服务商</w:t>
      </w:r>
      <w:r>
        <w:rPr>
          <w:rFonts w:hint="eastAsia" w:ascii="宋体" w:hAnsi="宋体" w:eastAsia="宋体" w:cs="宋体"/>
          <w:color w:val="auto"/>
          <w:sz w:val="24"/>
          <w:szCs w:val="24"/>
        </w:rPr>
        <w:t>必须提供符合药物制剂贮存标准和要求的贮存场地，如因贮存场地不符合标准和要求或贮存不当引起质量问题的，一切责任由中标方负责。</w:t>
      </w:r>
    </w:p>
    <w:p w14:paraId="1DFBEDDD">
      <w:pPr>
        <w:keepNext w:val="0"/>
        <w:keepLines w:val="0"/>
        <w:pageBreakBefore w:val="0"/>
        <w:widowControl w:val="0"/>
        <w:kinsoku/>
        <w:wordWrap/>
        <w:overflowPunct/>
        <w:topLinePunct w:val="0"/>
        <w:autoSpaceDE w:val="0"/>
        <w:autoSpaceDN w:val="0"/>
        <w:bidi w:val="0"/>
        <w:adjustRightInd/>
        <w:snapToGrid/>
        <w:spacing w:line="400" w:lineRule="exact"/>
        <w:ind w:right="0" w:firstLine="480" w:firstLineChars="200"/>
        <w:textAlignment w:val="auto"/>
        <w:rPr>
          <w:rFonts w:hint="eastAsia" w:ascii="宋体" w:hAnsi="宋体" w:eastAsia="宋体" w:cs="宋体"/>
          <w:color w:val="auto"/>
          <w:sz w:val="24"/>
          <w:szCs w:val="24"/>
        </w:rPr>
      </w:pPr>
      <w:r>
        <w:rPr>
          <w:rFonts w:hint="eastAsia" w:cs="宋体"/>
          <w:color w:val="auto"/>
          <w:sz w:val="24"/>
          <w:szCs w:val="24"/>
          <w:lang w:val="en-US" w:eastAsia="zh-CN"/>
        </w:rPr>
        <w:t>7</w:t>
      </w:r>
      <w:r>
        <w:rPr>
          <w:rFonts w:hint="eastAsia" w:ascii="宋体" w:hAnsi="宋体" w:eastAsia="宋体" w:cs="宋体"/>
          <w:color w:val="auto"/>
          <w:sz w:val="24"/>
          <w:szCs w:val="24"/>
        </w:rPr>
        <w:t>、合同期间，</w:t>
      </w:r>
      <w:r>
        <w:rPr>
          <w:rFonts w:hint="eastAsia" w:cs="宋体"/>
          <w:color w:val="auto"/>
          <w:sz w:val="24"/>
          <w:szCs w:val="24"/>
          <w:lang w:eastAsia="zh-CN"/>
        </w:rPr>
        <w:t>服务商</w:t>
      </w:r>
      <w:r>
        <w:rPr>
          <w:rFonts w:hint="eastAsia" w:ascii="宋体" w:hAnsi="宋体" w:eastAsia="宋体" w:cs="宋体"/>
          <w:color w:val="auto"/>
          <w:sz w:val="24"/>
          <w:szCs w:val="24"/>
        </w:rPr>
        <w:t>受到药监部门药品质量不良通报或处罚，或采购人发现</w:t>
      </w:r>
      <w:r>
        <w:rPr>
          <w:rFonts w:hint="eastAsia" w:cs="宋体"/>
          <w:color w:val="auto"/>
          <w:sz w:val="24"/>
          <w:szCs w:val="24"/>
          <w:lang w:eastAsia="zh-CN"/>
        </w:rPr>
        <w:t>服务商</w:t>
      </w:r>
      <w:r>
        <w:rPr>
          <w:rFonts w:hint="eastAsia" w:ascii="宋体" w:hAnsi="宋体" w:eastAsia="宋体" w:cs="宋体"/>
          <w:color w:val="auto"/>
          <w:sz w:val="24"/>
          <w:szCs w:val="24"/>
        </w:rPr>
        <w:t>隐瞒其药品质量不良记录，采购人有权终止合同，</w:t>
      </w:r>
      <w:r>
        <w:rPr>
          <w:rFonts w:hint="eastAsia" w:cs="宋体"/>
          <w:color w:val="auto"/>
          <w:sz w:val="24"/>
          <w:szCs w:val="24"/>
          <w:lang w:eastAsia="zh-CN"/>
        </w:rPr>
        <w:t>服务商</w:t>
      </w:r>
      <w:r>
        <w:rPr>
          <w:rFonts w:hint="eastAsia" w:ascii="宋体" w:hAnsi="宋体" w:eastAsia="宋体" w:cs="宋体"/>
          <w:color w:val="auto"/>
          <w:sz w:val="24"/>
          <w:szCs w:val="24"/>
        </w:rPr>
        <w:t>赔偿因终止合同给采购人造成的全部损失。</w:t>
      </w:r>
    </w:p>
    <w:p w14:paraId="058A5AF9">
      <w:pPr>
        <w:keepNext w:val="0"/>
        <w:keepLines w:val="0"/>
        <w:pageBreakBefore w:val="0"/>
        <w:widowControl w:val="0"/>
        <w:kinsoku/>
        <w:wordWrap/>
        <w:overflowPunct/>
        <w:topLinePunct w:val="0"/>
        <w:autoSpaceDE w:val="0"/>
        <w:autoSpaceDN w:val="0"/>
        <w:bidi w:val="0"/>
        <w:adjustRightInd/>
        <w:snapToGrid/>
        <w:spacing w:before="35"/>
        <w:ind w:right="0"/>
        <w:jc w:val="left"/>
        <w:textAlignment w:val="auto"/>
        <w:rPr>
          <w:rFonts w:hint="eastAsia" w:ascii="仿宋" w:hAnsi="仿宋" w:eastAsia="仿宋" w:cs="仿宋"/>
          <w:b w:val="0"/>
          <w:bCs/>
          <w:sz w:val="32"/>
          <w:szCs w:val="32"/>
          <w:lang w:val="en-US" w:eastAsia="zh-CN"/>
        </w:rPr>
      </w:pPr>
      <w:bookmarkStart w:id="0" w:name="_GoBack"/>
      <w:bookmarkEnd w:id="0"/>
    </w:p>
    <w:sectPr>
      <w:footerReference r:id="rId5" w:type="default"/>
      <w:pgSz w:w="11910" w:h="16840"/>
      <w:pgMar w:top="1417" w:right="1587" w:bottom="1134" w:left="1587" w:header="0" w:footer="97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BA97C">
    <w:pPr>
      <w:pStyle w:val="3"/>
      <w:spacing w:line="14" w:lineRule="auto"/>
      <w:ind w:left="0"/>
      <w:rPr>
        <w:sz w:val="20"/>
      </w:rPr>
    </w:pPr>
    <w:r>
      <mc:AlternateContent>
        <mc:Choice Requires="wps">
          <w:drawing>
            <wp:anchor distT="0" distB="0" distL="114300" distR="114300" simplePos="0" relativeHeight="251659264" behindDoc="1" locked="0" layoutInCell="1" allowOverlap="1">
              <wp:simplePos x="0" y="0"/>
              <wp:positionH relativeFrom="page">
                <wp:posOffset>3712210</wp:posOffset>
              </wp:positionH>
              <wp:positionV relativeFrom="page">
                <wp:posOffset>9932670</wp:posOffset>
              </wp:positionV>
              <wp:extent cx="1346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34620" cy="139700"/>
                      </a:xfrm>
                      <a:prstGeom prst="rect">
                        <a:avLst/>
                      </a:prstGeom>
                      <a:noFill/>
                      <a:ln>
                        <a:noFill/>
                      </a:ln>
                      <a:effectLst/>
                    </wps:spPr>
                    <wps:txbx>
                      <w:txbxContent>
                        <w:p w14:paraId="6A541DFB">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wps:txbx>
                    <wps:bodyPr vert="horz" wrap="square" lIns="0" tIns="0" rIns="0" bIns="0" anchor="t" anchorCtr="0" upright="1"/>
                  </wps:wsp>
                </a:graphicData>
              </a:graphic>
            </wp:anchor>
          </w:drawing>
        </mc:Choice>
        <mc:Fallback>
          <w:pict>
            <v:shape id="_x0000_s1026" o:spid="_x0000_s1026" o:spt="202" type="#_x0000_t202" style="position:absolute;left:0pt;margin-left:292.3pt;margin-top:782.1pt;height:11pt;width:10.6pt;mso-position-horizontal-relative:page;mso-position-vertical-relative:page;z-index:-251657216;mso-width-relative:page;mso-height-relative:page;" filled="f" stroked="f" coordsize="21600,21600" o:gfxdata="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uXhQUtoAAAANAQAADwAA&#10;AAAAAAABACAAAAAiAAAAZHJzL2Rvd25yZXYueG1sUEsBAhQAFAAAAAgAh07iQBDdtK3bAQAAsgMA&#10;AA4AAAAAAAAAAQAgAAAAKQEAAGRycy9lMm9Eb2MueG1sUEsFBgAAAAAGAAYAWQEAAHYFAAAAAA==&#10;">
              <v:fill on="f" focussize="0,0"/>
              <v:stroke on="f"/>
              <v:imagedata o:title=""/>
              <o:lock v:ext="edit" aspectratio="f"/>
              <v:textbox inset="0mm,0mm,0mm,0mm">
                <w:txbxContent>
                  <w:p w14:paraId="6A541DFB">
                    <w:pPr>
                      <w:spacing w:before="0" w:line="203" w:lineRule="exact"/>
                      <w:ind w:left="60" w:right="0" w:firstLine="0"/>
                      <w:jc w:val="left"/>
                      <w:rPr>
                        <w:rFonts w:ascii="Calibri"/>
                        <w:sz w:val="18"/>
                      </w:rPr>
                    </w:pPr>
                    <w:r>
                      <w:fldChar w:fldCharType="begin"/>
                    </w:r>
                    <w:r>
                      <w:rPr>
                        <w:rFonts w:ascii="Calibri"/>
                        <w:sz w:val="18"/>
                      </w:rPr>
                      <w:instrText xml:space="preserve"> PAGE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720"/>
  <w:hyphenationZone w:val="36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ZDY4Yjk2ZjFmMTNmYTQ0NWUxZTQyMjY1YzQ2YjAifQ=="/>
  </w:docVars>
  <w:rsids>
    <w:rsidRoot w:val="00000000"/>
    <w:rsid w:val="00174A6C"/>
    <w:rsid w:val="007B6898"/>
    <w:rsid w:val="01207B0A"/>
    <w:rsid w:val="02867434"/>
    <w:rsid w:val="035E700F"/>
    <w:rsid w:val="03661A20"/>
    <w:rsid w:val="04155920"/>
    <w:rsid w:val="04284736"/>
    <w:rsid w:val="047D024D"/>
    <w:rsid w:val="05281683"/>
    <w:rsid w:val="057E470A"/>
    <w:rsid w:val="05BE50F6"/>
    <w:rsid w:val="06F6018B"/>
    <w:rsid w:val="07CF5DE6"/>
    <w:rsid w:val="09654E76"/>
    <w:rsid w:val="098C3098"/>
    <w:rsid w:val="09DA013B"/>
    <w:rsid w:val="0A9D041D"/>
    <w:rsid w:val="0B7A075E"/>
    <w:rsid w:val="0CC91CA9"/>
    <w:rsid w:val="0E303356"/>
    <w:rsid w:val="0F21718D"/>
    <w:rsid w:val="11ED6F4D"/>
    <w:rsid w:val="131D2D94"/>
    <w:rsid w:val="14AD7296"/>
    <w:rsid w:val="14B94B6E"/>
    <w:rsid w:val="15121E0A"/>
    <w:rsid w:val="15227E9D"/>
    <w:rsid w:val="15B8610B"/>
    <w:rsid w:val="178F7340"/>
    <w:rsid w:val="17F07367"/>
    <w:rsid w:val="18BF2CBB"/>
    <w:rsid w:val="19055FA5"/>
    <w:rsid w:val="196D0920"/>
    <w:rsid w:val="199B021E"/>
    <w:rsid w:val="19E25E4D"/>
    <w:rsid w:val="1A044015"/>
    <w:rsid w:val="1A131F09"/>
    <w:rsid w:val="1A6B5643"/>
    <w:rsid w:val="1AE77ACD"/>
    <w:rsid w:val="1B4B6952"/>
    <w:rsid w:val="1B79633D"/>
    <w:rsid w:val="1CD207BE"/>
    <w:rsid w:val="1CE617B0"/>
    <w:rsid w:val="1E1862E1"/>
    <w:rsid w:val="1E6E0C44"/>
    <w:rsid w:val="1F282E3C"/>
    <w:rsid w:val="1F925C1F"/>
    <w:rsid w:val="1FE71F60"/>
    <w:rsid w:val="1FF70178"/>
    <w:rsid w:val="201B3E66"/>
    <w:rsid w:val="20BE2FC4"/>
    <w:rsid w:val="2101027A"/>
    <w:rsid w:val="21B207FA"/>
    <w:rsid w:val="21CB366A"/>
    <w:rsid w:val="22523EE0"/>
    <w:rsid w:val="226B18D6"/>
    <w:rsid w:val="23D512B2"/>
    <w:rsid w:val="23F559A9"/>
    <w:rsid w:val="2443398C"/>
    <w:rsid w:val="245C4A4D"/>
    <w:rsid w:val="24833D88"/>
    <w:rsid w:val="25576C8D"/>
    <w:rsid w:val="26025181"/>
    <w:rsid w:val="26084E8D"/>
    <w:rsid w:val="26431A21"/>
    <w:rsid w:val="26BF5328"/>
    <w:rsid w:val="28CE5855"/>
    <w:rsid w:val="28F25980"/>
    <w:rsid w:val="29CA2459"/>
    <w:rsid w:val="29F32A64"/>
    <w:rsid w:val="2A36189D"/>
    <w:rsid w:val="2A50295E"/>
    <w:rsid w:val="2C7E7C57"/>
    <w:rsid w:val="2D6A3D37"/>
    <w:rsid w:val="2FA42A1A"/>
    <w:rsid w:val="31376B34"/>
    <w:rsid w:val="31AA070C"/>
    <w:rsid w:val="32784055"/>
    <w:rsid w:val="32892EB1"/>
    <w:rsid w:val="33CC574C"/>
    <w:rsid w:val="343C06DD"/>
    <w:rsid w:val="344745C3"/>
    <w:rsid w:val="36DA1F2E"/>
    <w:rsid w:val="376357F7"/>
    <w:rsid w:val="37F76B0F"/>
    <w:rsid w:val="39397558"/>
    <w:rsid w:val="39A46823"/>
    <w:rsid w:val="39B43C68"/>
    <w:rsid w:val="39F2758E"/>
    <w:rsid w:val="3A5E2E76"/>
    <w:rsid w:val="3B1C7F86"/>
    <w:rsid w:val="3B6F7EBE"/>
    <w:rsid w:val="3B7361F9"/>
    <w:rsid w:val="3B934DA1"/>
    <w:rsid w:val="3BBC42F8"/>
    <w:rsid w:val="3D736C38"/>
    <w:rsid w:val="3DD9401D"/>
    <w:rsid w:val="3E2A626C"/>
    <w:rsid w:val="3E577856"/>
    <w:rsid w:val="3E6B787E"/>
    <w:rsid w:val="3EBE3EE3"/>
    <w:rsid w:val="40B27A77"/>
    <w:rsid w:val="40DB6684"/>
    <w:rsid w:val="41120516"/>
    <w:rsid w:val="41AC53A5"/>
    <w:rsid w:val="41E07D3E"/>
    <w:rsid w:val="43130879"/>
    <w:rsid w:val="43282273"/>
    <w:rsid w:val="43515EAA"/>
    <w:rsid w:val="4509299A"/>
    <w:rsid w:val="456443B5"/>
    <w:rsid w:val="46433032"/>
    <w:rsid w:val="464C7B5F"/>
    <w:rsid w:val="48147269"/>
    <w:rsid w:val="49606C5D"/>
    <w:rsid w:val="498413E9"/>
    <w:rsid w:val="4AE747C1"/>
    <w:rsid w:val="4AEA4ACB"/>
    <w:rsid w:val="4B0B6702"/>
    <w:rsid w:val="4C03562B"/>
    <w:rsid w:val="4C123106"/>
    <w:rsid w:val="4CE42411"/>
    <w:rsid w:val="4D9C5638"/>
    <w:rsid w:val="4DA846DC"/>
    <w:rsid w:val="4DEF5972"/>
    <w:rsid w:val="4DFC67D6"/>
    <w:rsid w:val="50966110"/>
    <w:rsid w:val="50AA7C6B"/>
    <w:rsid w:val="50BA7826"/>
    <w:rsid w:val="51087240"/>
    <w:rsid w:val="51311BF1"/>
    <w:rsid w:val="51986815"/>
    <w:rsid w:val="52EF35FC"/>
    <w:rsid w:val="541F321E"/>
    <w:rsid w:val="55161B0B"/>
    <w:rsid w:val="55472A2C"/>
    <w:rsid w:val="562A5895"/>
    <w:rsid w:val="56D227CA"/>
    <w:rsid w:val="570A5ABF"/>
    <w:rsid w:val="571B3010"/>
    <w:rsid w:val="57405985"/>
    <w:rsid w:val="5A804698"/>
    <w:rsid w:val="5D1D2A66"/>
    <w:rsid w:val="5D647EF4"/>
    <w:rsid w:val="5DAD189A"/>
    <w:rsid w:val="5EDD7F5D"/>
    <w:rsid w:val="5F7239A5"/>
    <w:rsid w:val="5FA347AB"/>
    <w:rsid w:val="5FC700E8"/>
    <w:rsid w:val="5FCC24AC"/>
    <w:rsid w:val="5FF84C06"/>
    <w:rsid w:val="601F1EB6"/>
    <w:rsid w:val="60F40114"/>
    <w:rsid w:val="618F19E3"/>
    <w:rsid w:val="61E16FA2"/>
    <w:rsid w:val="6315739F"/>
    <w:rsid w:val="63BA45EF"/>
    <w:rsid w:val="63E02C32"/>
    <w:rsid w:val="64153CF9"/>
    <w:rsid w:val="649856AE"/>
    <w:rsid w:val="65143FAD"/>
    <w:rsid w:val="66127AA6"/>
    <w:rsid w:val="664D3C1B"/>
    <w:rsid w:val="66A01F9C"/>
    <w:rsid w:val="66F83EFB"/>
    <w:rsid w:val="67254A33"/>
    <w:rsid w:val="67AB7CE7"/>
    <w:rsid w:val="696868EA"/>
    <w:rsid w:val="696C085C"/>
    <w:rsid w:val="6C4504B1"/>
    <w:rsid w:val="6C97174C"/>
    <w:rsid w:val="6CE10C19"/>
    <w:rsid w:val="6CE150BD"/>
    <w:rsid w:val="6CED5810"/>
    <w:rsid w:val="6D893F70"/>
    <w:rsid w:val="6E1B45FE"/>
    <w:rsid w:val="6FE0035E"/>
    <w:rsid w:val="7099681B"/>
    <w:rsid w:val="70A97EB7"/>
    <w:rsid w:val="71ED62B2"/>
    <w:rsid w:val="726E2F4F"/>
    <w:rsid w:val="738C30F5"/>
    <w:rsid w:val="73A429A0"/>
    <w:rsid w:val="741A0364"/>
    <w:rsid w:val="74640AAD"/>
    <w:rsid w:val="74CE4179"/>
    <w:rsid w:val="75C5350E"/>
    <w:rsid w:val="75DC28C5"/>
    <w:rsid w:val="76A3613F"/>
    <w:rsid w:val="772B7660"/>
    <w:rsid w:val="78144598"/>
    <w:rsid w:val="79B25E17"/>
    <w:rsid w:val="79BC20B2"/>
    <w:rsid w:val="7ACC0CD4"/>
    <w:rsid w:val="7B7D387D"/>
    <w:rsid w:val="7BFB3A36"/>
    <w:rsid w:val="7CBB5F08"/>
    <w:rsid w:val="7D3D3613"/>
    <w:rsid w:val="7DA9093E"/>
    <w:rsid w:val="7DCC2CF6"/>
    <w:rsid w:val="7E81225C"/>
    <w:rsid w:val="7E9401E1"/>
    <w:rsid w:val="7F1D0E7B"/>
    <w:rsid w:val="7F2C0419"/>
    <w:rsid w:val="7F4B53A2"/>
    <w:rsid w:val="7FF761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spacing w:before="30"/>
      <w:ind w:left="578"/>
      <w:outlineLvl w:val="0"/>
    </w:pPr>
    <w:rPr>
      <w:rFonts w:ascii="宋体" w:hAnsi="宋体" w:eastAsia="宋体" w:cs="宋体"/>
      <w:b/>
      <w:bCs/>
      <w:sz w:val="32"/>
      <w:szCs w:val="32"/>
    </w:rPr>
  </w:style>
  <w:style w:type="character" w:default="1" w:styleId="6">
    <w:name w:val="Default Paragraph Font"/>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20"/>
    </w:pPr>
    <w:rPr>
      <w:rFonts w:ascii="宋体" w:hAnsi="宋体" w:eastAsia="宋体" w:cs="宋体"/>
      <w:sz w:val="24"/>
      <w:szCs w:val="24"/>
    </w:rPr>
  </w:style>
  <w:style w:type="table" w:styleId="5">
    <w:name w:val="Table Grid"/>
    <w:basedOn w:val="4"/>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7">
    <w:name w:val="Table Normal"/>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120" w:right="657"/>
    </w:pPr>
    <w:rPr>
      <w:rFonts w:ascii="宋体" w:hAnsi="宋体" w:eastAsia="宋体" w:cs="宋体"/>
    </w:rPr>
  </w:style>
  <w:style w:type="paragraph" w:customStyle="1" w:styleId="9">
    <w:name w:val="Table Paragraph"/>
    <w:basedOn w:val="1"/>
    <w:qFormat/>
    <w:uiPriority w:val="1"/>
    <w:pPr>
      <w:spacing w:before="2" w:line="288" w:lineRule="exact"/>
      <w:jc w:val="center"/>
    </w:pPr>
    <w:rPr>
      <w:rFonts w:ascii="仿宋" w:hAnsi="仿宋" w:eastAsia="仿宋" w:cs="仿宋"/>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6083</Words>
  <Characters>6329</Characters>
  <TotalTime>4</TotalTime>
  <ScaleCrop>false</ScaleCrop>
  <LinksUpToDate>false</LinksUpToDate>
  <CharactersWithSpaces>6348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2022-05-23T16:26:00Z</dcterms:created>
  <dc:creator>User</dc:creator>
  <cp:lastModifiedBy>aspl</cp:lastModifiedBy>
  <cp:lastPrinted>2025-09-22T03:15:00Z</cp:lastPrinted>
  <dcterms:modified xsi:type="dcterms:W3CDTF">2026-06-25T03:06:34Z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2022-05-10T00:00:00Z</vt:filetime>
  </property>
  <property fmtid="{D5CDD505-2E9C-101B-9397-08002B2CF9AE}" pid="3" name="Creator">
    <vt:lpwstr>WPS 文字</vt:lpwstr>
  </property>
  <property fmtid="{D5CDD505-2E9C-101B-9397-08002B2CF9AE}" pid="4" name="LastSaved">
    <vt:filetime>2022-05-23T00:00:00Z</vt:filetime>
  </property>
  <property fmtid="{D5CDD505-2E9C-101B-9397-08002B2CF9AE}" pid="5" name="KSOProductBuildVer">
    <vt:lpwstr>2052-12.1.0.26895</vt:lpwstr>
  </property>
  <property fmtid="{D5CDD505-2E9C-101B-9397-08002B2CF9AE}" pid="6" name="ICV">
    <vt:lpwstr>77CFEF4EA8514CD6A19820BDD61CB816_13</vt:lpwstr>
  </property>
  <property fmtid="{D5CDD505-2E9C-101B-9397-08002B2CF9AE}" pid="7" name="KSOTemplateDocerSaveRecord">
    <vt:lpwstr>eyJoZGlkIjoiM2U4YWE0MDJhMTRkNzUzOGZiODYwYzcxYTFjZTM5ZWYiLCJ1c2VySWQiOiI1MzMzMTExODIifQ==</vt:lpwstr>
  </property>
</Properties>
</file>